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5352"/>
      </w:tblGrid>
      <w:tr w:rsidR="000D6969" w:rsidRPr="000D6969" w14:paraId="172839A1" w14:textId="77777777" w:rsidTr="002E0DB3">
        <w:tc>
          <w:tcPr>
            <w:tcW w:w="5103" w:type="dxa"/>
            <w:shd w:val="clear" w:color="auto" w:fill="auto"/>
          </w:tcPr>
          <w:p w14:paraId="1AC2C7F0" w14:textId="77777777" w:rsidR="000D6969" w:rsidRPr="000D6969" w:rsidRDefault="000D6969" w:rsidP="000D6969">
            <w:pPr>
              <w:widowControl/>
              <w:spacing w:line="240" w:lineRule="auto"/>
              <w:textAlignment w:val="auto"/>
              <w:rPr>
                <w:rFonts w:ascii="Arial" w:eastAsia="Times New Roman" w:hAnsi="Arial" w:cs="Arial"/>
                <w:b/>
                <w:bCs/>
                <w:spacing w:val="20"/>
                <w:kern w:val="0"/>
                <w:sz w:val="22"/>
                <w:szCs w:val="22"/>
                <w:lang w:val="ro-RO"/>
              </w:rPr>
            </w:pPr>
            <w:r w:rsidRPr="000D6969">
              <w:rPr>
                <w:rFonts w:ascii="Arial" w:eastAsia="Times New Roman" w:hAnsi="Arial" w:cs="Arial"/>
                <w:b/>
                <w:bCs/>
                <w:spacing w:val="20"/>
                <w:kern w:val="0"/>
                <w:sz w:val="22"/>
                <w:szCs w:val="22"/>
                <w:lang w:val="ro-RO"/>
              </w:rPr>
              <w:t>ROMÂNIA</w:t>
            </w:r>
          </w:p>
          <w:p w14:paraId="3D7D0CD1" w14:textId="77777777" w:rsidR="000D6969" w:rsidRPr="000D6969" w:rsidRDefault="000D6969" w:rsidP="000D6969">
            <w:pPr>
              <w:widowControl/>
              <w:spacing w:line="240" w:lineRule="auto"/>
              <w:textAlignment w:val="auto"/>
              <w:rPr>
                <w:rFonts w:ascii="Arial" w:eastAsia="Times New Roman" w:hAnsi="Arial" w:cs="Arial"/>
                <w:b/>
                <w:bCs/>
                <w:kern w:val="0"/>
                <w:sz w:val="22"/>
                <w:szCs w:val="22"/>
                <w:lang w:val="ro-RO"/>
              </w:rPr>
            </w:pPr>
            <w:r w:rsidRPr="000D6969">
              <w:rPr>
                <w:rFonts w:ascii="Arial" w:eastAsia="Times New Roman" w:hAnsi="Arial" w:cs="Arial"/>
                <w:b/>
                <w:bCs/>
                <w:kern w:val="0"/>
                <w:sz w:val="22"/>
                <w:szCs w:val="22"/>
                <w:lang w:val="ro-RO"/>
              </w:rPr>
              <w:t>JUDEȚUL HUNEDOARA</w:t>
            </w:r>
          </w:p>
          <w:p w14:paraId="01618479" w14:textId="77777777" w:rsidR="000D6969" w:rsidRPr="000D6969" w:rsidRDefault="000D6969" w:rsidP="000D6969">
            <w:pPr>
              <w:widowControl/>
              <w:spacing w:line="240" w:lineRule="auto"/>
              <w:textAlignment w:val="auto"/>
              <w:rPr>
                <w:rFonts w:ascii="Arial" w:eastAsia="Times New Roman" w:hAnsi="Arial" w:cs="Arial"/>
                <w:b/>
                <w:bCs/>
                <w:kern w:val="0"/>
                <w:sz w:val="22"/>
                <w:szCs w:val="22"/>
                <w:lang w:val="ro-RO"/>
              </w:rPr>
            </w:pPr>
            <w:r w:rsidRPr="000D6969">
              <w:rPr>
                <w:rFonts w:ascii="Arial" w:eastAsia="Times New Roman" w:hAnsi="Arial" w:cs="Arial"/>
                <w:b/>
                <w:bCs/>
                <w:kern w:val="0"/>
                <w:sz w:val="22"/>
                <w:szCs w:val="22"/>
                <w:lang w:val="ro-RO"/>
              </w:rPr>
              <w:t>MUNICIPIUL HUNEDOARA</w:t>
            </w:r>
          </w:p>
          <w:p w14:paraId="1523C191" w14:textId="77777777" w:rsidR="000D6969" w:rsidRPr="000D6969" w:rsidRDefault="000D6969" w:rsidP="000D6969">
            <w:pPr>
              <w:widowControl/>
              <w:spacing w:line="240" w:lineRule="auto"/>
              <w:textAlignment w:val="auto"/>
              <w:rPr>
                <w:rFonts w:ascii="Arial" w:eastAsia="Times New Roman" w:hAnsi="Arial" w:cs="Arial"/>
                <w:b/>
                <w:bCs/>
                <w:kern w:val="0"/>
                <w:sz w:val="22"/>
                <w:szCs w:val="22"/>
                <w:lang w:val="ro-RO"/>
              </w:rPr>
            </w:pPr>
            <w:r w:rsidRPr="000D6969">
              <w:rPr>
                <w:rFonts w:ascii="Arial" w:eastAsia="Times New Roman" w:hAnsi="Arial" w:cs="Arial"/>
                <w:b/>
                <w:bCs/>
                <w:kern w:val="0"/>
                <w:sz w:val="22"/>
                <w:szCs w:val="22"/>
                <w:lang w:val="ro-RO"/>
              </w:rPr>
              <w:t>PRIMAR</w:t>
            </w:r>
          </w:p>
          <w:p w14:paraId="17C5A694" w14:textId="77777777" w:rsidR="000D6969" w:rsidRPr="000D6969" w:rsidRDefault="000D6969" w:rsidP="000D6969">
            <w:pPr>
              <w:widowControl/>
              <w:spacing w:line="240" w:lineRule="auto"/>
              <w:textAlignment w:val="auto"/>
              <w:rPr>
                <w:rFonts w:ascii="Arial" w:eastAsia="Times New Roman" w:hAnsi="Arial" w:cs="Arial"/>
                <w:kern w:val="0"/>
                <w:sz w:val="22"/>
                <w:szCs w:val="22"/>
                <w:lang w:val="ro-RO"/>
              </w:rPr>
            </w:pPr>
            <w:r w:rsidRPr="000D6969">
              <w:rPr>
                <w:rFonts w:ascii="Arial" w:eastAsia="Times New Roman" w:hAnsi="Arial" w:cs="Arial"/>
                <w:b/>
                <w:bCs/>
                <w:kern w:val="0"/>
                <w:sz w:val="22"/>
                <w:szCs w:val="22"/>
                <w:lang w:val="ro-RO"/>
              </w:rPr>
              <w:t>NR. 103099 /06.12.2023</w:t>
            </w:r>
          </w:p>
        </w:tc>
        <w:tc>
          <w:tcPr>
            <w:tcW w:w="5352" w:type="dxa"/>
            <w:shd w:val="clear" w:color="auto" w:fill="auto"/>
          </w:tcPr>
          <w:p w14:paraId="14944503" w14:textId="476316E2" w:rsidR="000D6969" w:rsidRPr="000D6969" w:rsidRDefault="000D6969" w:rsidP="000D6969">
            <w:pPr>
              <w:widowControl/>
              <w:suppressLineNumbers/>
              <w:snapToGrid w:val="0"/>
              <w:spacing w:line="240" w:lineRule="auto"/>
              <w:textAlignment w:val="auto"/>
              <w:rPr>
                <w:rFonts w:ascii="Arial" w:eastAsia="Times New Roman" w:hAnsi="Arial" w:cs="Arial"/>
                <w:color w:val="FF0000"/>
                <w:kern w:val="0"/>
                <w:sz w:val="22"/>
                <w:szCs w:val="22"/>
                <w:lang w:val="ro-RO"/>
              </w:rPr>
            </w:pPr>
            <w:r w:rsidRPr="000D6969">
              <w:rPr>
                <w:rFonts w:ascii="Arial" w:eastAsia="Times New Roman" w:hAnsi="Arial" w:cs="Arial"/>
                <w:noProof/>
                <w:kern w:val="0"/>
                <w:sz w:val="22"/>
                <w:szCs w:val="22"/>
                <w:lang w:val="ro-RO"/>
              </w:rPr>
              <w:drawing>
                <wp:anchor distT="0" distB="0" distL="114935" distR="114935" simplePos="0" relativeHeight="251659264" behindDoc="0" locked="0" layoutInCell="1" allowOverlap="1" wp14:anchorId="10022465" wp14:editId="1037CA93">
                  <wp:simplePos x="0" y="0"/>
                  <wp:positionH relativeFrom="column">
                    <wp:posOffset>64135</wp:posOffset>
                  </wp:positionH>
                  <wp:positionV relativeFrom="paragraph">
                    <wp:posOffset>23495</wp:posOffset>
                  </wp:positionV>
                  <wp:extent cx="2110740" cy="675005"/>
                  <wp:effectExtent l="0" t="0" r="3810" b="0"/>
                  <wp:wrapNone/>
                  <wp:docPr id="1742434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0740" cy="675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D6969">
              <w:rPr>
                <w:rFonts w:ascii="Arial" w:eastAsia="Times New Roman" w:hAnsi="Arial" w:cs="Arial"/>
                <w:noProof/>
                <w:kern w:val="0"/>
                <w:sz w:val="22"/>
                <w:szCs w:val="22"/>
                <w:lang w:val="ro-RO"/>
              </w:rPr>
              <w:drawing>
                <wp:anchor distT="0" distB="0" distL="114935" distR="114935" simplePos="0" relativeHeight="251660288" behindDoc="0" locked="0" layoutInCell="1" allowOverlap="1" wp14:anchorId="3D3AFB2D" wp14:editId="44BBEF3E">
                  <wp:simplePos x="0" y="0"/>
                  <wp:positionH relativeFrom="column">
                    <wp:posOffset>2217420</wp:posOffset>
                  </wp:positionH>
                  <wp:positionV relativeFrom="paragraph">
                    <wp:posOffset>76835</wp:posOffset>
                  </wp:positionV>
                  <wp:extent cx="1051560" cy="478790"/>
                  <wp:effectExtent l="0" t="0" r="0" b="0"/>
                  <wp:wrapNone/>
                  <wp:docPr id="1567855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1560" cy="4787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7D3793CA" w14:textId="77777777" w:rsidR="000D6969" w:rsidRPr="000D6969" w:rsidRDefault="000D6969" w:rsidP="000D6969">
      <w:pPr>
        <w:widowControl/>
        <w:spacing w:line="240" w:lineRule="auto"/>
        <w:jc w:val="center"/>
        <w:textAlignment w:val="auto"/>
        <w:rPr>
          <w:rFonts w:ascii="Arial" w:eastAsia="Times New Roman" w:hAnsi="Arial" w:cs="Arial"/>
          <w:b/>
          <w:color w:val="000000"/>
          <w:kern w:val="0"/>
          <w:sz w:val="22"/>
          <w:szCs w:val="22"/>
          <w:lang w:val="ro-RO"/>
        </w:rPr>
      </w:pPr>
      <w:r w:rsidRPr="000D6969">
        <w:rPr>
          <w:rFonts w:ascii="Arial" w:eastAsia="Times New Roman" w:hAnsi="Arial" w:cs="Arial"/>
          <w:b/>
          <w:bCs/>
          <w:kern w:val="0"/>
          <w:sz w:val="22"/>
          <w:szCs w:val="22"/>
          <w:u w:val="single"/>
          <w:lang w:val="ro-RO"/>
        </w:rPr>
        <w:t>REFERAT  DE  APROBARE</w:t>
      </w:r>
    </w:p>
    <w:p w14:paraId="582D9AB7" w14:textId="77777777" w:rsidR="000D6969" w:rsidRPr="000D6969" w:rsidRDefault="000D6969" w:rsidP="000D6969">
      <w:pPr>
        <w:jc w:val="center"/>
        <w:textAlignment w:val="auto"/>
        <w:rPr>
          <w:rFonts w:ascii="Arial" w:eastAsia="Times New Roman" w:hAnsi="Arial" w:cs="Arial"/>
          <w:color w:val="FF0000"/>
          <w:sz w:val="22"/>
          <w:szCs w:val="22"/>
          <w:lang w:val="ro-RO"/>
        </w:rPr>
      </w:pPr>
      <w:r w:rsidRPr="000D6969">
        <w:rPr>
          <w:rFonts w:ascii="Arial" w:eastAsia="Times New Roman" w:hAnsi="Arial" w:cs="Arial"/>
          <w:b/>
          <w:color w:val="000000"/>
          <w:sz w:val="22"/>
          <w:szCs w:val="22"/>
          <w:lang w:val="ro-RO"/>
        </w:rPr>
        <w:t>al proiectului de hotărâre</w:t>
      </w:r>
      <w:r w:rsidRPr="000D6969">
        <w:rPr>
          <w:rFonts w:ascii="Arial" w:eastAsia="Times New Roman" w:hAnsi="Arial" w:cs="Arial"/>
          <w:color w:val="000000"/>
          <w:sz w:val="22"/>
          <w:szCs w:val="22"/>
          <w:lang w:val="ro-RO"/>
        </w:rPr>
        <w:t xml:space="preserve"> </w:t>
      </w:r>
      <w:r w:rsidRPr="000D6969">
        <w:rPr>
          <w:rFonts w:ascii="Arial" w:eastAsia="Times New Roman" w:hAnsi="Arial" w:cs="Arial"/>
          <w:b/>
          <w:bCs/>
          <w:sz w:val="22"/>
          <w:szCs w:val="22"/>
          <w:lang w:val="ro-RO"/>
        </w:rPr>
        <w:t xml:space="preserve">privind aprobarea acordării </w:t>
      </w:r>
      <w:r w:rsidRPr="000D6969">
        <w:rPr>
          <w:rFonts w:ascii="Arial" w:eastAsia="Times New Roman" w:hAnsi="Arial" w:cs="Arial"/>
          <w:b/>
          <w:sz w:val="22"/>
          <w:szCs w:val="22"/>
          <w:lang w:val="ro-RO"/>
        </w:rPr>
        <w:t>facilităților la transportul public local de persoane prin curse regulate pentru categoriile de persoane beneficiare de pe raza administrativ teritorială a Municipiului Hunedoara și a modalităților de emitere a documentelor de călătorie</w:t>
      </w:r>
    </w:p>
    <w:p w14:paraId="6895371E" w14:textId="77777777" w:rsidR="000D6969" w:rsidRPr="000D6969" w:rsidRDefault="000D6969" w:rsidP="000D6969">
      <w:pPr>
        <w:jc w:val="center"/>
        <w:textAlignment w:val="auto"/>
        <w:rPr>
          <w:rFonts w:ascii="Arial" w:eastAsia="Times New Roman" w:hAnsi="Arial" w:cs="Arial"/>
          <w:color w:val="000000"/>
          <w:sz w:val="22"/>
          <w:szCs w:val="22"/>
          <w:lang w:val="ro-RO"/>
        </w:rPr>
      </w:pPr>
    </w:p>
    <w:p w14:paraId="3F707588" w14:textId="77777777" w:rsidR="000D6969" w:rsidRPr="000D6969" w:rsidRDefault="000D6969" w:rsidP="000D6969">
      <w:pPr>
        <w:widowControl/>
        <w:shd w:val="clear" w:color="auto" w:fill="FFFFFF"/>
        <w:spacing w:line="240" w:lineRule="auto"/>
        <w:ind w:left="72" w:firstLine="636"/>
        <w:jc w:val="both"/>
        <w:textAlignment w:val="auto"/>
        <w:rPr>
          <w:rFonts w:ascii="Arial" w:eastAsia="Times New Roman" w:hAnsi="Arial" w:cs="Arial"/>
          <w:bCs/>
          <w:kern w:val="0"/>
          <w:sz w:val="22"/>
          <w:szCs w:val="22"/>
          <w:lang w:val="ro-RO"/>
        </w:rPr>
      </w:pPr>
      <w:r w:rsidRPr="000D6969">
        <w:rPr>
          <w:rFonts w:ascii="Arial" w:eastAsia="Times New Roman" w:hAnsi="Arial" w:cs="Arial"/>
          <w:kern w:val="0"/>
          <w:sz w:val="22"/>
          <w:szCs w:val="22"/>
          <w:lang w:val="ro-RO"/>
        </w:rPr>
        <w:t>Temeiul legal al proiectului de hotărâre îl constituie prevederile Legii serviciilor comunitare de utilități publice nr. 51/2006, republicată, cu modificările și completările ulterioare,</w:t>
      </w:r>
      <w:r w:rsidRPr="000D6969">
        <w:rPr>
          <w:rFonts w:ascii="Arial" w:hAnsi="Arial" w:cs="Arial"/>
          <w:b/>
          <w:bCs/>
          <w:color w:val="00000A"/>
          <w:sz w:val="22"/>
          <w:szCs w:val="22"/>
          <w:lang w:val="ro-RO"/>
        </w:rPr>
        <w:t xml:space="preserve"> </w:t>
      </w:r>
      <w:r w:rsidRPr="000D6969">
        <w:rPr>
          <w:rFonts w:ascii="Arial" w:hAnsi="Arial" w:cs="Arial"/>
          <w:bCs/>
          <w:color w:val="00000A"/>
          <w:sz w:val="22"/>
          <w:szCs w:val="22"/>
          <w:lang w:val="ro-RO"/>
        </w:rPr>
        <w:t>art. 17 alin. (1) lit. i), art. 19</w:t>
      </w:r>
      <w:r w:rsidRPr="000D6969">
        <w:rPr>
          <w:rFonts w:ascii="Arial" w:hAnsi="Arial" w:cs="Arial"/>
          <w:bCs/>
          <w:color w:val="00000A"/>
          <w:sz w:val="22"/>
          <w:szCs w:val="22"/>
          <w:vertAlign w:val="superscript"/>
          <w:lang w:val="ro-RO"/>
        </w:rPr>
        <w:t>1</w:t>
      </w:r>
      <w:r w:rsidRPr="000D6969">
        <w:rPr>
          <w:rFonts w:ascii="Arial" w:hAnsi="Arial" w:cs="Arial"/>
          <w:bCs/>
          <w:color w:val="00000A"/>
          <w:sz w:val="22"/>
          <w:szCs w:val="22"/>
          <w:lang w:val="ro-RO"/>
        </w:rPr>
        <w:t>, art.35 alin.(2) lit. i) din</w:t>
      </w:r>
      <w:r w:rsidRPr="000D6969">
        <w:rPr>
          <w:rFonts w:ascii="Arial" w:hAnsi="Arial" w:cs="Arial"/>
          <w:b/>
          <w:bCs/>
          <w:color w:val="00000A"/>
          <w:sz w:val="22"/>
          <w:szCs w:val="22"/>
          <w:lang w:val="ro-RO"/>
        </w:rPr>
        <w:t xml:space="preserve"> </w:t>
      </w:r>
      <w:r w:rsidRPr="000D6969">
        <w:rPr>
          <w:rFonts w:ascii="Arial" w:eastAsia="Times New Roman" w:hAnsi="Arial" w:cs="Arial"/>
          <w:kern w:val="0"/>
          <w:sz w:val="22"/>
          <w:szCs w:val="22"/>
          <w:lang w:val="ro-RO"/>
        </w:rPr>
        <w:t>Legea nr. 92/2007 serviciilor publice de transport persoane în unitățile administrativ-teritoriale, cu modificările și completările ulterioare,</w:t>
      </w:r>
      <w:r w:rsidRPr="000D6969">
        <w:rPr>
          <w:rFonts w:ascii="Arial" w:eastAsia="Times New Roman" w:hAnsi="Arial" w:cs="Arial"/>
          <w:bCs/>
          <w:color w:val="000000"/>
          <w:kern w:val="0"/>
          <w:sz w:val="22"/>
          <w:szCs w:val="22"/>
          <w:lang w:val="ro-RO"/>
        </w:rPr>
        <w:t xml:space="preserve"> ale</w:t>
      </w:r>
      <w:r w:rsidRPr="000D6969">
        <w:rPr>
          <w:rFonts w:ascii="Arial" w:eastAsia="Times New Roman" w:hAnsi="Arial" w:cs="Arial"/>
          <w:b/>
          <w:bCs/>
          <w:color w:val="000000"/>
          <w:kern w:val="0"/>
          <w:sz w:val="22"/>
          <w:szCs w:val="22"/>
          <w:lang w:val="ro-RO"/>
        </w:rPr>
        <w:t xml:space="preserve"> </w:t>
      </w:r>
      <w:r w:rsidRPr="000D6969">
        <w:rPr>
          <w:rFonts w:ascii="Arial" w:eastAsia="Times New Roman" w:hAnsi="Arial" w:cs="Arial"/>
          <w:kern w:val="0"/>
          <w:sz w:val="22"/>
          <w:szCs w:val="22"/>
          <w:lang w:val="ro-RO"/>
        </w:rPr>
        <w:t xml:space="preserve">art. 15 alin. (1), alin. (2) și  art. 17 din Normele – cadru </w:t>
      </w:r>
      <w:r w:rsidRPr="000D6969">
        <w:rPr>
          <w:rFonts w:ascii="Arial" w:eastAsia="Times New Roman" w:hAnsi="Arial" w:cs="Arial"/>
          <w:color w:val="000000"/>
          <w:kern w:val="0"/>
          <w:sz w:val="22"/>
          <w:szCs w:val="22"/>
          <w:lang w:val="ro-RO"/>
        </w:rPr>
        <w:t xml:space="preserve">Normelor-cadru privind stabilirea, ajustarea şi modificarea tarifelor pentru serviciile publice de </w:t>
      </w:r>
      <w:r w:rsidRPr="000D6969">
        <w:rPr>
          <w:rFonts w:ascii="Arial" w:eastAsia="Times New Roman" w:hAnsi="Arial" w:cs="Arial"/>
          <w:kern w:val="0"/>
          <w:sz w:val="22"/>
          <w:szCs w:val="22"/>
          <w:lang w:val="ro-RO"/>
        </w:rPr>
        <w:t xml:space="preserve">transport local şi judeţean de persoane, aprobate prin Ordinul președintelui Autorităţii Naţionale de Reglementare pentru Serviciile Comunitare de Utilităţi Publice nr. 272/2007, cu modificările și completările ulterioare, ale art. 83 din Legea învățământului preuniversitar nr. 198/2023, </w:t>
      </w:r>
      <w:r w:rsidRPr="000D6969">
        <w:rPr>
          <w:rFonts w:ascii="Arial" w:eastAsia="Times New Roman" w:hAnsi="Arial" w:cs="Arial"/>
          <w:bCs/>
          <w:color w:val="000000"/>
          <w:kern w:val="0"/>
          <w:sz w:val="22"/>
          <w:szCs w:val="22"/>
          <w:lang w:val="ro-RO"/>
        </w:rPr>
        <w:t xml:space="preserve">cu modificările ulterioare, ale Anexei nr. 2 la Hotărârea Guvernului nr. 810/2023 pentru aprobarea normelor metodologice privind acordarea facilităților de transport pentru elevi, ale art. 128 din Legea nr. 199/2023 a învățământului superior, cu modificările ulterioare, </w:t>
      </w:r>
      <w:r w:rsidRPr="000D6969">
        <w:rPr>
          <w:rFonts w:ascii="Arial" w:eastAsia="Times New Roman" w:hAnsi="Arial" w:cs="Arial"/>
          <w:kern w:val="0"/>
          <w:sz w:val="22"/>
          <w:szCs w:val="22"/>
          <w:lang w:val="ro-RO"/>
        </w:rPr>
        <w:t xml:space="preserve">ale art. 11 lit. g), art. 94 alin.(2) lit. d) din Legea asistenței sociale nr.292/2011, cu modificările și completările ulterioare, ale art. 24 și art. 25 din Legea nr.116/2002 privind prevenirea si combaterea marginalizării sociale, cu modificările și completările ulterioare, ale Legii nr. 448/2006 privind protecția și promovarea drepturilor persoanelor cu handicap, republicată, cu modificările și completările ulterioare, ale Legii recunoștinței pentru victoria Revoluției Române din Decembrie 1989, pentru revolta muncitorească anticomunistă de la Brașov din noiembrie 1987 și pentru revolta muncitorească anticomunistă din Valea Jiului - Lupeni - august 1977 nr.341/2004, cu modificările și completările ulterioare, ale Decretului - Lege nr. 118/1990 privind acordarea unor drepturi persoanelor persecutate din motive politice de dictatura instaurată cu începere de la 6 martie 1945, precum și celor deportate în străinătate ori constituite în prizonieri, republicat, cu modificările și completările ulterioare, ale art. 41 alin. (4) din Ordonanța nr.27/2011 privind transporturile rutiere, cu modificările și completările ulterioare, </w:t>
      </w:r>
      <w:r w:rsidRPr="000D6969">
        <w:rPr>
          <w:rFonts w:ascii="Arial" w:eastAsia="Times New Roman" w:hAnsi="Arial" w:cs="Arial"/>
          <w:bCs/>
          <w:kern w:val="0"/>
          <w:sz w:val="22"/>
          <w:szCs w:val="22"/>
          <w:lang w:val="ro-RO"/>
        </w:rPr>
        <w:t xml:space="preserve">ale Legii nr.273/2006 privind finanțele publice locale, cu modificările și completările ulterioare, </w:t>
      </w:r>
      <w:r w:rsidRPr="000D6969">
        <w:rPr>
          <w:rFonts w:ascii="Arial" w:eastAsia="Times New Roman" w:hAnsi="Arial" w:cs="Arial"/>
          <w:kern w:val="0"/>
          <w:sz w:val="22"/>
          <w:szCs w:val="22"/>
          <w:lang w:val="ro-RO"/>
        </w:rPr>
        <w:t>ale art. 100 din Legea nr. 227/2015 privind Codul fiscal, cu modificările și completările ulterioare,</w:t>
      </w:r>
      <w:r w:rsidRPr="000D6969">
        <w:rPr>
          <w:rFonts w:ascii="Arial" w:eastAsia="Times New Roman" w:hAnsi="Arial" w:cs="Arial"/>
          <w:color w:val="FF0000"/>
          <w:kern w:val="0"/>
          <w:sz w:val="22"/>
          <w:szCs w:val="22"/>
          <w:lang w:val="ro-RO"/>
        </w:rPr>
        <w:t xml:space="preserve"> </w:t>
      </w:r>
      <w:r w:rsidRPr="000D6969">
        <w:rPr>
          <w:rFonts w:ascii="Arial" w:eastAsia="Times New Roman" w:hAnsi="Arial" w:cs="Arial"/>
          <w:kern w:val="0"/>
          <w:sz w:val="22"/>
          <w:szCs w:val="22"/>
          <w:lang w:val="ro-RO"/>
        </w:rPr>
        <w:t>ale</w:t>
      </w:r>
      <w:r w:rsidRPr="000D6969">
        <w:rPr>
          <w:rFonts w:ascii="Arial" w:eastAsia="Times New Roman" w:hAnsi="Arial" w:cs="Arial"/>
          <w:b/>
          <w:kern w:val="0"/>
          <w:sz w:val="22"/>
          <w:szCs w:val="22"/>
          <w:lang w:val="ro-RO"/>
        </w:rPr>
        <w:t xml:space="preserve"> </w:t>
      </w:r>
      <w:r w:rsidRPr="000D6969">
        <w:rPr>
          <w:rFonts w:ascii="Arial" w:eastAsia="Times New Roman" w:hAnsi="Arial" w:cs="Arial"/>
          <w:kern w:val="0"/>
          <w:sz w:val="22"/>
          <w:szCs w:val="22"/>
          <w:lang w:val="ro-RO"/>
        </w:rPr>
        <w:t>Ordonanței de urgență nr. 168/2022 privind unele măsuri fiscal-bugetare, prorogarea unor termene, precum și pentru modificarea și completarea unor acte normative,</w:t>
      </w:r>
      <w:r w:rsidRPr="000D6969">
        <w:rPr>
          <w:rFonts w:ascii="Arial" w:eastAsia="Times New Roman" w:hAnsi="Arial" w:cs="Arial"/>
          <w:b/>
          <w:kern w:val="0"/>
          <w:sz w:val="22"/>
          <w:szCs w:val="22"/>
          <w:lang w:val="ro-RO"/>
        </w:rPr>
        <w:t xml:space="preserve"> </w:t>
      </w:r>
      <w:r w:rsidRPr="000D6969">
        <w:rPr>
          <w:rFonts w:ascii="Arial" w:eastAsia="Times New Roman" w:hAnsi="Arial" w:cs="Arial"/>
          <w:bCs/>
          <w:kern w:val="0"/>
          <w:sz w:val="22"/>
          <w:szCs w:val="22"/>
          <w:lang w:val="ro-RO"/>
        </w:rPr>
        <w:t>precum și ale art.4 lit. b) și art. 7 din Legea nr.52/2003 privind transparența decizională în administrația publică, republicată, cu modificările ulterioare;</w:t>
      </w:r>
    </w:p>
    <w:p w14:paraId="5859B101" w14:textId="77777777" w:rsidR="000D6969" w:rsidRPr="000D6969" w:rsidRDefault="000D6969" w:rsidP="000D6969">
      <w:pPr>
        <w:jc w:val="both"/>
        <w:textAlignment w:val="auto"/>
        <w:rPr>
          <w:rFonts w:ascii="Arial" w:eastAsia="Times New Roman" w:hAnsi="Arial" w:cs="Arial"/>
          <w:sz w:val="22"/>
          <w:szCs w:val="22"/>
          <w:lang w:val="ro-RO"/>
        </w:rPr>
      </w:pPr>
      <w:r w:rsidRPr="000D6969">
        <w:rPr>
          <w:rFonts w:ascii="Arial" w:eastAsia="Times New Roman" w:hAnsi="Arial" w:cs="Arial"/>
          <w:bCs/>
          <w:color w:val="111111"/>
          <w:sz w:val="22"/>
          <w:szCs w:val="22"/>
          <w:lang w:val="ro-RO"/>
        </w:rPr>
        <w:t xml:space="preserve">         Deoarece, de la aprobarea Hotărârii Consiliului Local al municipiului Hunedoara nr. 389/2021 privind acordarea facilităților la transportul public local de persoane prin curse regulate pentru categoriile de persoane beneficiare de pe raza administrativ teritorială a Municipiului Hunedoara și a modalităților de emitere a documentelor de călătorie, au survenit modificări ale legislației în domeniu, </w:t>
      </w:r>
      <w:r w:rsidRPr="000D6969">
        <w:rPr>
          <w:rFonts w:ascii="Arial" w:eastAsia="Times New Roman" w:hAnsi="Arial" w:cs="Arial"/>
          <w:sz w:val="22"/>
          <w:szCs w:val="22"/>
          <w:lang w:val="ro-RO"/>
        </w:rPr>
        <w:t xml:space="preserve">prin proiectul de hotărâre inițiat propun spre dezbatere şi adoptare Consiliului local al municipiului Hunedoara </w:t>
      </w:r>
      <w:r w:rsidRPr="000D6969">
        <w:rPr>
          <w:rFonts w:ascii="Arial" w:eastAsia="Times New Roman" w:hAnsi="Arial" w:cs="Arial"/>
          <w:bCs/>
          <w:sz w:val="22"/>
          <w:szCs w:val="22"/>
          <w:lang w:val="ro-RO"/>
        </w:rPr>
        <w:t>aprobarea</w:t>
      </w:r>
      <w:r w:rsidRPr="000D6969">
        <w:rPr>
          <w:rFonts w:ascii="Arial" w:eastAsia="Times New Roman" w:hAnsi="Arial" w:cs="Arial"/>
          <w:b/>
          <w:bCs/>
          <w:color w:val="FF0000"/>
          <w:sz w:val="22"/>
          <w:szCs w:val="22"/>
          <w:lang w:val="ro-RO"/>
        </w:rPr>
        <w:t xml:space="preserve"> </w:t>
      </w:r>
      <w:r w:rsidRPr="000D6969">
        <w:rPr>
          <w:rFonts w:ascii="Arial" w:eastAsia="Times New Roman" w:hAnsi="Arial" w:cs="Arial"/>
          <w:bCs/>
          <w:sz w:val="22"/>
          <w:szCs w:val="22"/>
          <w:lang w:val="ro-RO"/>
        </w:rPr>
        <w:t xml:space="preserve">acordării </w:t>
      </w:r>
      <w:r w:rsidRPr="000D6969">
        <w:rPr>
          <w:rFonts w:ascii="Arial" w:eastAsia="Times New Roman" w:hAnsi="Arial" w:cs="Arial"/>
          <w:sz w:val="22"/>
          <w:szCs w:val="22"/>
          <w:lang w:val="ro-RO"/>
        </w:rPr>
        <w:t>facilităților la transportul public local de persoane prin curse regulate pentru categoriile de persoane beneficiare de pe raza</w:t>
      </w:r>
      <w:r w:rsidRPr="000D6969">
        <w:rPr>
          <w:rFonts w:ascii="Arial" w:eastAsia="Times New Roman" w:hAnsi="Arial" w:cs="Arial"/>
          <w:b/>
          <w:color w:val="FF0000"/>
          <w:sz w:val="22"/>
          <w:szCs w:val="22"/>
          <w:lang w:val="ro-RO"/>
        </w:rPr>
        <w:t xml:space="preserve"> </w:t>
      </w:r>
      <w:r w:rsidRPr="000D6969">
        <w:rPr>
          <w:rFonts w:ascii="Arial" w:eastAsia="Times New Roman" w:hAnsi="Arial" w:cs="Arial"/>
          <w:sz w:val="22"/>
          <w:szCs w:val="22"/>
          <w:lang w:val="ro-RO"/>
        </w:rPr>
        <w:t xml:space="preserve">administrativ teritorială a Municipiului Hunedoara și a modalităților de emitere a documentelor de călătorie, conform Anexei la proiectul de hotărâre. </w:t>
      </w:r>
    </w:p>
    <w:p w14:paraId="03E861F6" w14:textId="77777777" w:rsidR="000D6969" w:rsidRPr="000D6969" w:rsidRDefault="000D6969" w:rsidP="000D6969">
      <w:pPr>
        <w:widowControl/>
        <w:spacing w:line="240" w:lineRule="auto"/>
        <w:jc w:val="both"/>
        <w:textAlignment w:val="auto"/>
        <w:rPr>
          <w:rFonts w:ascii="Arial" w:eastAsia="Times New Roman" w:hAnsi="Arial" w:cs="Arial"/>
          <w:color w:val="000000"/>
          <w:kern w:val="0"/>
          <w:sz w:val="22"/>
          <w:szCs w:val="22"/>
          <w:lang w:val="ro-RO"/>
        </w:rPr>
      </w:pPr>
      <w:r w:rsidRPr="000D6969">
        <w:rPr>
          <w:rFonts w:ascii="Arial" w:eastAsia="Times New Roman" w:hAnsi="Arial" w:cs="Arial"/>
          <w:kern w:val="0"/>
          <w:sz w:val="22"/>
          <w:szCs w:val="22"/>
          <w:lang w:val="ro-RO"/>
        </w:rPr>
        <w:t xml:space="preserve">        De asemenea se va abroga Hotărârea Consiliului Local al municipiului Hunedoara nr.389/2021, cu modificările și completările ulterioare.</w:t>
      </w:r>
    </w:p>
    <w:p w14:paraId="0502D1BE" w14:textId="77777777" w:rsidR="000D6969" w:rsidRPr="000D6969" w:rsidRDefault="000D6969" w:rsidP="000D6969">
      <w:pPr>
        <w:widowControl/>
        <w:spacing w:line="240" w:lineRule="auto"/>
        <w:jc w:val="both"/>
        <w:textAlignment w:val="auto"/>
        <w:rPr>
          <w:rFonts w:ascii="Arial" w:eastAsia="Times New Roman" w:hAnsi="Arial" w:cs="Arial"/>
          <w:kern w:val="0"/>
          <w:sz w:val="22"/>
          <w:szCs w:val="22"/>
          <w:lang w:val="ro-RO"/>
        </w:rPr>
      </w:pPr>
      <w:r w:rsidRPr="000D6969">
        <w:rPr>
          <w:rFonts w:ascii="Arial" w:eastAsia="Times New Roman" w:hAnsi="Arial" w:cs="Arial"/>
          <w:color w:val="000000"/>
          <w:kern w:val="0"/>
          <w:sz w:val="22"/>
          <w:szCs w:val="22"/>
          <w:lang w:val="ro-RO"/>
        </w:rPr>
        <w:t xml:space="preserve">       Competenţa dezbaterii și adoptării prezentului proiect de hotărâre aparține Consiliului Local al municipiului Hunedoara în temeiul prevederilor </w:t>
      </w:r>
      <w:r w:rsidRPr="000D6969">
        <w:rPr>
          <w:rFonts w:ascii="Arial" w:eastAsia="Times New Roman" w:hAnsi="Arial" w:cs="Arial"/>
          <w:kern w:val="0"/>
          <w:sz w:val="22"/>
          <w:szCs w:val="22"/>
          <w:lang w:val="ro-RO"/>
        </w:rPr>
        <w:t>art. 129, alin. (1), alin. (2), lit. d), alin.(7), lit. n), alin. (14), precum și art. 139, coroborat cu art. 196 alin. (1) lit. a) din Ordonanța de Urgență nr. 57/2019 privind Codul Administrativ, cu modificările și completările ulterioare.</w:t>
      </w:r>
    </w:p>
    <w:p w14:paraId="5835226A" w14:textId="77777777" w:rsidR="000D6969" w:rsidRPr="000D6969" w:rsidRDefault="000D6969" w:rsidP="000D6969">
      <w:pPr>
        <w:widowControl/>
        <w:spacing w:line="200" w:lineRule="atLeast"/>
        <w:jc w:val="center"/>
        <w:textAlignment w:val="auto"/>
        <w:rPr>
          <w:rFonts w:ascii="Arial" w:eastAsia="Times New Roman" w:hAnsi="Arial" w:cs="Arial"/>
          <w:color w:val="000000"/>
          <w:kern w:val="0"/>
          <w:sz w:val="22"/>
          <w:szCs w:val="22"/>
          <w:lang w:val="ro-RO"/>
        </w:rPr>
      </w:pPr>
      <w:r w:rsidRPr="000D6969">
        <w:rPr>
          <w:rFonts w:ascii="Arial" w:eastAsia="Times New Roman" w:hAnsi="Arial" w:cs="Arial"/>
          <w:b/>
          <w:bCs/>
          <w:color w:val="000000"/>
          <w:kern w:val="0"/>
          <w:sz w:val="22"/>
          <w:szCs w:val="22"/>
          <w:lang w:val="ro-RO"/>
        </w:rPr>
        <w:t>Hunedoara, la 06.12.2023</w:t>
      </w:r>
    </w:p>
    <w:p w14:paraId="097625C9" w14:textId="77777777" w:rsidR="000D6969" w:rsidRPr="000D6969" w:rsidRDefault="000D6969" w:rsidP="000D6969">
      <w:pPr>
        <w:widowControl/>
        <w:spacing w:line="200" w:lineRule="atLeast"/>
        <w:jc w:val="center"/>
        <w:textAlignment w:val="auto"/>
        <w:rPr>
          <w:rFonts w:ascii="Arial" w:eastAsia="Times New Roman" w:hAnsi="Arial" w:cs="Arial"/>
          <w:b/>
          <w:bCs/>
          <w:color w:val="000000"/>
          <w:kern w:val="0"/>
          <w:sz w:val="22"/>
          <w:szCs w:val="22"/>
          <w:lang w:val="ro-RO"/>
        </w:rPr>
      </w:pPr>
      <w:r w:rsidRPr="000D6969">
        <w:rPr>
          <w:rFonts w:ascii="Arial" w:eastAsia="Times New Roman" w:hAnsi="Arial" w:cs="Arial"/>
          <w:b/>
          <w:bCs/>
          <w:color w:val="000000"/>
          <w:kern w:val="0"/>
          <w:sz w:val="22"/>
          <w:szCs w:val="22"/>
          <w:lang w:val="ro-RO"/>
        </w:rPr>
        <w:t>PRIMAR,</w:t>
      </w:r>
    </w:p>
    <w:p w14:paraId="14944B5E" w14:textId="77777777" w:rsidR="000D6969" w:rsidRPr="000D6969" w:rsidRDefault="000D6969" w:rsidP="000D6969">
      <w:pPr>
        <w:widowControl/>
        <w:spacing w:after="120" w:line="200" w:lineRule="atLeast"/>
        <w:jc w:val="center"/>
        <w:textAlignment w:val="auto"/>
        <w:rPr>
          <w:rFonts w:eastAsia="Times New Roman" w:cs="Times New Roman"/>
          <w:color w:val="000000"/>
          <w:kern w:val="0"/>
          <w:lang w:val="ro-RO"/>
        </w:rPr>
      </w:pPr>
      <w:r w:rsidRPr="000D6969">
        <w:rPr>
          <w:rFonts w:ascii="Arial" w:eastAsia="Times New Roman" w:hAnsi="Arial" w:cs="Arial"/>
          <w:b/>
          <w:bCs/>
          <w:color w:val="000000"/>
          <w:kern w:val="0"/>
          <w:sz w:val="22"/>
          <w:szCs w:val="22"/>
          <w:lang w:val="ro-RO"/>
        </w:rPr>
        <w:t>DAN  BOBOUȚANU</w:t>
      </w:r>
    </w:p>
    <w:p w14:paraId="2A1B1D48" w14:textId="0B972364" w:rsidR="003E6FDD" w:rsidRPr="000D6969" w:rsidRDefault="003E6FDD" w:rsidP="000D6969"/>
    <w:sectPr w:rsidR="003E6FDD" w:rsidRPr="000D6969" w:rsidSect="00E35F3E">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0D6969"/>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C1A12"/>
    <w:rsid w:val="007946E2"/>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39</cp:revision>
  <dcterms:created xsi:type="dcterms:W3CDTF">2022-07-07T10:06:00Z</dcterms:created>
  <dcterms:modified xsi:type="dcterms:W3CDTF">2023-12-08T09:28:00Z</dcterms:modified>
</cp:coreProperties>
</file>