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4" w:type="dxa"/>
        <w:tblLayout w:type="fixed"/>
        <w:tblLook w:val="0000" w:firstRow="0" w:lastRow="0" w:firstColumn="0" w:lastColumn="0" w:noHBand="0" w:noVBand="0"/>
      </w:tblPr>
      <w:tblGrid>
        <w:gridCol w:w="3508"/>
        <w:gridCol w:w="2957"/>
        <w:gridCol w:w="3151"/>
      </w:tblGrid>
      <w:tr w:rsidR="00543664" w14:paraId="54FEAE41" w14:textId="77777777" w:rsidTr="00B21199">
        <w:tc>
          <w:tcPr>
            <w:tcW w:w="3508" w:type="dxa"/>
            <w:shd w:val="clear" w:color="auto" w:fill="auto"/>
          </w:tcPr>
          <w:p w14:paraId="2ABB4305" w14:textId="77777777" w:rsidR="00543664" w:rsidRDefault="00543664" w:rsidP="00B21199">
            <w:pPr>
              <w:rPr>
                <w:b/>
              </w:rPr>
            </w:pPr>
            <w:r>
              <w:rPr>
                <w:b/>
              </w:rPr>
              <w:t>R O M Â N I A</w:t>
            </w:r>
          </w:p>
          <w:p w14:paraId="6D06DC1F" w14:textId="77777777" w:rsidR="00543664" w:rsidRDefault="00543664" w:rsidP="00B21199">
            <w:pPr>
              <w:rPr>
                <w:b/>
              </w:rPr>
            </w:pPr>
            <w:r>
              <w:rPr>
                <w:b/>
              </w:rPr>
              <w:t>JUDEŢUL HUNEDOARA</w:t>
            </w:r>
          </w:p>
          <w:p w14:paraId="3B379224" w14:textId="77777777" w:rsidR="00543664" w:rsidRDefault="00543664" w:rsidP="00B21199">
            <w:pPr>
              <w:rPr>
                <w:b/>
              </w:rPr>
            </w:pPr>
            <w:r>
              <w:rPr>
                <w:b/>
              </w:rPr>
              <w:t>MUNICIPIUL HUNEDOARA</w:t>
            </w:r>
          </w:p>
          <w:p w14:paraId="5DEE32BD" w14:textId="77777777" w:rsidR="00543664" w:rsidRDefault="00543664" w:rsidP="00B21199">
            <w:r>
              <w:rPr>
                <w:b/>
              </w:rPr>
              <w:t>CONSILIUL LOCAL</w:t>
            </w:r>
          </w:p>
        </w:tc>
        <w:tc>
          <w:tcPr>
            <w:tcW w:w="2957" w:type="dxa"/>
            <w:shd w:val="clear" w:color="auto" w:fill="auto"/>
          </w:tcPr>
          <w:p w14:paraId="161D5754" w14:textId="4926840B" w:rsidR="00543664" w:rsidRDefault="00543664" w:rsidP="00B21199">
            <w:pPr>
              <w:jc w:val="center"/>
              <w:rPr>
                <w:b/>
              </w:rPr>
            </w:pPr>
            <w:r>
              <w:rPr>
                <w:b/>
                <w:bCs/>
                <w:noProof/>
              </w:rPr>
              <w:drawing>
                <wp:inline distT="0" distB="0" distL="0" distR="0" wp14:anchorId="441D14FF" wp14:editId="161137EF">
                  <wp:extent cx="523875" cy="704850"/>
                  <wp:effectExtent l="0" t="0" r="9525" b="0"/>
                  <wp:docPr id="92472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151" w:type="dxa"/>
            <w:shd w:val="clear" w:color="auto" w:fill="auto"/>
          </w:tcPr>
          <w:p w14:paraId="7EABDCBF" w14:textId="77777777" w:rsidR="00543664" w:rsidRDefault="00543664" w:rsidP="00B21199">
            <w:pPr>
              <w:snapToGrid w:val="0"/>
              <w:jc w:val="center"/>
              <w:rPr>
                <w:b/>
              </w:rPr>
            </w:pPr>
          </w:p>
          <w:p w14:paraId="2240842C" w14:textId="77777777" w:rsidR="00543664" w:rsidRDefault="00543664" w:rsidP="00B21199">
            <w:pPr>
              <w:jc w:val="center"/>
              <w:rPr>
                <w:b/>
              </w:rPr>
            </w:pPr>
            <w:r>
              <w:rPr>
                <w:b/>
              </w:rPr>
              <w:t>Proiect de Hotărâre</w:t>
            </w:r>
          </w:p>
          <w:p w14:paraId="201B5E55" w14:textId="77777777" w:rsidR="00543664" w:rsidRDefault="00543664" w:rsidP="00B21199">
            <w:pPr>
              <w:jc w:val="center"/>
            </w:pPr>
            <w:r>
              <w:rPr>
                <w:b/>
              </w:rPr>
              <w:t>Nr.134/04.04.2024</w:t>
            </w:r>
          </w:p>
        </w:tc>
      </w:tr>
    </w:tbl>
    <w:p w14:paraId="496FE97A" w14:textId="77777777" w:rsidR="00543664" w:rsidRDefault="00543664" w:rsidP="00543664"/>
    <w:p w14:paraId="655CBC71" w14:textId="77777777" w:rsidR="00543664" w:rsidRDefault="00543664" w:rsidP="00543664">
      <w:pPr>
        <w:autoSpaceDE w:val="0"/>
        <w:jc w:val="center"/>
        <w:rPr>
          <w:b/>
          <w:bCs/>
        </w:rPr>
      </w:pPr>
      <w:r>
        <w:rPr>
          <w:b/>
          <w:bCs/>
          <w:u w:val="single"/>
        </w:rPr>
        <w:t>HOTĂRÂREA  NR.      /        2024</w:t>
      </w:r>
    </w:p>
    <w:p w14:paraId="31B63410" w14:textId="77777777" w:rsidR="00543664" w:rsidRPr="00A20E5A" w:rsidRDefault="00543664" w:rsidP="00543664">
      <w:pPr>
        <w:autoSpaceDE w:val="0"/>
        <w:jc w:val="center"/>
        <w:rPr>
          <w:b/>
          <w:bCs/>
        </w:rPr>
      </w:pPr>
      <w:r w:rsidRPr="00A20E5A">
        <w:rPr>
          <w:b/>
          <w:bCs/>
        </w:rPr>
        <w:t xml:space="preserve"> privind </w:t>
      </w:r>
      <w:r w:rsidRPr="00A20E5A">
        <w:rPr>
          <w:b/>
        </w:rPr>
        <w:t xml:space="preserve">propunerea </w:t>
      </w:r>
      <w:r w:rsidRPr="00A20E5A">
        <w:rPr>
          <w:b/>
          <w:bCs/>
        </w:rPr>
        <w:t>criteriilor pentru</w:t>
      </w:r>
      <w:r w:rsidRPr="00A20E5A">
        <w:rPr>
          <w:b/>
        </w:rPr>
        <w:t xml:space="preserve"> stabilirea</w:t>
      </w:r>
      <w:r w:rsidRPr="00A20E5A">
        <w:rPr>
          <w:rStyle w:val="l5def1"/>
          <w:rFonts w:ascii="Times New Roman" w:hAnsi="Times New Roman" w:cs="Times New Roman"/>
          <w:b/>
          <w:sz w:val="24"/>
          <w:szCs w:val="24"/>
        </w:rPr>
        <w:t xml:space="preserve"> ordinii de prioritate în soluţionarea cererilor de locuinţe şi în repartizarea locuinţelor pentru tineri, destinate închirierii</w:t>
      </w:r>
      <w:r w:rsidRPr="00A20E5A">
        <w:rPr>
          <w:b/>
          <w:bCs/>
        </w:rPr>
        <w:t xml:space="preserve">, </w:t>
      </w:r>
    </w:p>
    <w:p w14:paraId="35F80AB4" w14:textId="77777777" w:rsidR="00543664" w:rsidRPr="00A20E5A" w:rsidRDefault="00543664" w:rsidP="00543664">
      <w:pPr>
        <w:autoSpaceDE w:val="0"/>
        <w:jc w:val="center"/>
        <w:rPr>
          <w:b/>
          <w:bCs/>
        </w:rPr>
      </w:pPr>
      <w:r w:rsidRPr="00A20E5A">
        <w:rPr>
          <w:b/>
          <w:bCs/>
        </w:rPr>
        <w:t>în municipiul Hunedoara</w:t>
      </w:r>
    </w:p>
    <w:p w14:paraId="07BF5A69" w14:textId="77777777" w:rsidR="00543664" w:rsidRPr="00A20E5A" w:rsidRDefault="00543664" w:rsidP="00543664">
      <w:pPr>
        <w:autoSpaceDE w:val="0"/>
        <w:jc w:val="center"/>
        <w:rPr>
          <w:b/>
          <w:bCs/>
        </w:rPr>
      </w:pPr>
    </w:p>
    <w:p w14:paraId="52FC1867" w14:textId="77777777" w:rsidR="00543664" w:rsidRDefault="00543664" w:rsidP="00543664">
      <w:pPr>
        <w:autoSpaceDE w:val="0"/>
        <w:jc w:val="both"/>
      </w:pPr>
      <w:r>
        <w:tab/>
        <w:t>Consiliul local al municipiului Hunedoara;</w:t>
      </w:r>
    </w:p>
    <w:p w14:paraId="2C411258" w14:textId="77777777" w:rsidR="00543664" w:rsidRPr="00A20E5A" w:rsidRDefault="00543664" w:rsidP="00543664">
      <w:pPr>
        <w:autoSpaceDE w:val="0"/>
        <w:spacing w:line="276" w:lineRule="auto"/>
        <w:jc w:val="both"/>
      </w:pPr>
      <w:r>
        <w:tab/>
      </w:r>
      <w:r w:rsidRPr="00A20E5A">
        <w:t xml:space="preserve">Analizând Referatul de Aprobare al Primarului municipiului Hunedoara nr.26237/ 04.04.2024 </w:t>
      </w:r>
      <w:r w:rsidRPr="00A20E5A">
        <w:rPr>
          <w:bCs/>
        </w:rPr>
        <w:t xml:space="preserve">privind </w:t>
      </w:r>
      <w:r w:rsidRPr="00A20E5A">
        <w:t xml:space="preserve">propunerea </w:t>
      </w:r>
      <w:r w:rsidRPr="00A20E5A">
        <w:rPr>
          <w:bCs/>
        </w:rPr>
        <w:t>criteriilor pentru</w:t>
      </w:r>
      <w:r w:rsidRPr="00A20E5A">
        <w:t xml:space="preserve"> stabilirea</w:t>
      </w:r>
      <w:r w:rsidRPr="00A20E5A">
        <w:rPr>
          <w:rStyle w:val="l5def1"/>
          <w:sz w:val="24"/>
          <w:szCs w:val="24"/>
        </w:rPr>
        <w:t xml:space="preserve"> ordinii de prioritate în soluţionarea cererilor de locuinţe şi în repartizarea locuinţelor pentru tineri, destinate închirierii</w:t>
      </w:r>
      <w:r w:rsidRPr="00A20E5A">
        <w:rPr>
          <w:bCs/>
        </w:rPr>
        <w:t>, în municipiul Hunedoara</w:t>
      </w:r>
      <w:r w:rsidRPr="00A20E5A">
        <w:t>;</w:t>
      </w:r>
    </w:p>
    <w:p w14:paraId="57697529" w14:textId="77777777" w:rsidR="00543664" w:rsidRPr="00A20E5A" w:rsidRDefault="00543664" w:rsidP="00543664">
      <w:pPr>
        <w:autoSpaceDE w:val="0"/>
        <w:jc w:val="both"/>
      </w:pPr>
      <w:r w:rsidRPr="00A20E5A">
        <w:t xml:space="preserve">           În temeiul prevederilor Legii nr. 152/1998 privind înființarea Agenției Naționale pentru Locuințe, republicată, cu modificările și completările ulterioare, ale art. 14, alin. (8) din Normele metodologice pentru punerea în aplicare a prevederilor Legii nr. 152/1998 privind înființarea Agenției Naționale pentru Locuințe, aprobate prin Hotărârea Guvernului nr. 962/2001, cu modificările și completările ulterioare, </w:t>
      </w:r>
      <w:r w:rsidRPr="00A20E5A">
        <w:rPr>
          <w:rStyle w:val="l5def1"/>
          <w:sz w:val="24"/>
          <w:szCs w:val="24"/>
        </w:rPr>
        <w:t xml:space="preserve">precum și ale art. 4, lit. b) și art. 7 din </w:t>
      </w:r>
      <w:r w:rsidRPr="00A20E5A">
        <w:rPr>
          <w:rStyle w:val="l5def1"/>
          <w:rFonts w:eastAsia="SimSun"/>
          <w:sz w:val="24"/>
          <w:szCs w:val="24"/>
          <w:lang w:eastAsia="hi-IN" w:bidi="hi-IN"/>
        </w:rPr>
        <w:t>Legea nr. 52/2003 privind transparența decizională în administrația publică, republicată, cu modificările și completările ulterioare;</w:t>
      </w:r>
    </w:p>
    <w:p w14:paraId="03C092C5" w14:textId="77777777" w:rsidR="00543664" w:rsidRPr="00A20E5A" w:rsidRDefault="00543664" w:rsidP="00543664">
      <w:pPr>
        <w:pStyle w:val="BodyText"/>
        <w:spacing w:after="0"/>
        <w:jc w:val="both"/>
        <w:rPr>
          <w:b/>
          <w:bCs/>
          <w:u w:val="single"/>
        </w:rPr>
      </w:pPr>
      <w:r w:rsidRPr="00A20E5A">
        <w:tab/>
      </w:r>
      <w:r w:rsidRPr="00A20E5A">
        <w:rPr>
          <w:color w:val="000000"/>
        </w:rPr>
        <w:t>În baza dispoziţiilor art. 129, alin. (2), lit. d), alin. (7), lit. q), alin. (14), art. 139 coroborat cu art. 196, alin. (1), lit. a) din Ordonanţa de Urgenţă nr. 57/2019 privind Codul administrativ, cu modificările și  completările ulterioare,</w:t>
      </w:r>
    </w:p>
    <w:p w14:paraId="0DCB4020" w14:textId="77777777" w:rsidR="00543664" w:rsidRDefault="00543664" w:rsidP="00543664">
      <w:pPr>
        <w:pStyle w:val="BodyText"/>
        <w:spacing w:after="0"/>
        <w:jc w:val="both"/>
        <w:rPr>
          <w:b/>
          <w:bCs/>
          <w:u w:val="single"/>
        </w:rPr>
      </w:pPr>
    </w:p>
    <w:p w14:paraId="4967B3B6" w14:textId="77777777" w:rsidR="00543664" w:rsidRDefault="00543664" w:rsidP="00543664">
      <w:pPr>
        <w:autoSpaceDE w:val="0"/>
        <w:jc w:val="center"/>
        <w:rPr>
          <w:b/>
          <w:bCs/>
          <w:u w:val="single"/>
        </w:rPr>
      </w:pPr>
      <w:r>
        <w:rPr>
          <w:b/>
          <w:bCs/>
          <w:u w:val="single"/>
        </w:rPr>
        <w:t>H O T Ă R Ă Ş T E:</w:t>
      </w:r>
    </w:p>
    <w:p w14:paraId="2A662DC7" w14:textId="77777777" w:rsidR="00543664" w:rsidRDefault="00543664" w:rsidP="00543664">
      <w:pPr>
        <w:autoSpaceDE w:val="0"/>
        <w:jc w:val="center"/>
        <w:rPr>
          <w:b/>
          <w:bCs/>
          <w:u w:val="single"/>
        </w:rPr>
      </w:pPr>
    </w:p>
    <w:p w14:paraId="2CF6EAE9" w14:textId="77777777" w:rsidR="00543664" w:rsidRDefault="00543664" w:rsidP="00543664">
      <w:pPr>
        <w:pStyle w:val="BodyText"/>
        <w:spacing w:after="0"/>
        <w:jc w:val="both"/>
        <w:rPr>
          <w:b/>
          <w:bCs/>
        </w:rPr>
      </w:pPr>
      <w:r>
        <w:tab/>
      </w:r>
      <w:r>
        <w:rPr>
          <w:b/>
          <w:bCs/>
          <w:u w:val="single"/>
        </w:rPr>
        <w:t>Art.1.</w:t>
      </w:r>
      <w:r>
        <w:rPr>
          <w:b/>
          <w:bCs/>
        </w:rPr>
        <w:t xml:space="preserve"> </w:t>
      </w:r>
      <w:r>
        <w:rPr>
          <w:bCs/>
        </w:rPr>
        <w:t>- Aprobă</w:t>
      </w:r>
      <w:r>
        <w:rPr>
          <w:b/>
          <w:bCs/>
        </w:rPr>
        <w:t xml:space="preserve">  </w:t>
      </w:r>
      <w:r>
        <w:t>propunerea</w:t>
      </w:r>
      <w:r>
        <w:rPr>
          <w:bCs/>
        </w:rPr>
        <w:t xml:space="preserve"> criteriilor pentru</w:t>
      </w:r>
      <w:r>
        <w:t xml:space="preserve"> stabilirea</w:t>
      </w:r>
      <w:r>
        <w:rPr>
          <w:rStyle w:val="l5def1"/>
        </w:rPr>
        <w:t xml:space="preserve"> ordinii de prioritate în soluţionarea cererilor de locuinţe şi în repartizarea locuinţelor pentru tineri, destinate închirierii</w:t>
      </w:r>
      <w:r>
        <w:rPr>
          <w:bCs/>
        </w:rPr>
        <w:t>, în municipiul Hunedoara</w:t>
      </w:r>
      <w:r>
        <w:t>, conform Anexei care face parte integrantă din prezenta hotărâre.</w:t>
      </w:r>
    </w:p>
    <w:p w14:paraId="179EA84A" w14:textId="77777777" w:rsidR="00543664" w:rsidRDefault="00543664" w:rsidP="00543664">
      <w:pPr>
        <w:pStyle w:val="BodyText"/>
        <w:spacing w:after="0"/>
        <w:jc w:val="both"/>
        <w:rPr>
          <w:b/>
          <w:bCs/>
        </w:rPr>
      </w:pPr>
    </w:p>
    <w:p w14:paraId="3CAAE8D6" w14:textId="77777777" w:rsidR="00543664" w:rsidRDefault="00543664" w:rsidP="00543664">
      <w:pPr>
        <w:pStyle w:val="BodyText"/>
        <w:spacing w:after="0"/>
        <w:jc w:val="both"/>
      </w:pPr>
      <w:r>
        <w:rPr>
          <w:b/>
          <w:bCs/>
        </w:rPr>
        <w:tab/>
        <w:t xml:space="preserve"> </w:t>
      </w:r>
      <w:r>
        <w:rPr>
          <w:b/>
          <w:bCs/>
          <w:u w:val="single"/>
        </w:rPr>
        <w:t>Art.2.</w:t>
      </w:r>
      <w:r>
        <w:rPr>
          <w:b/>
          <w:bCs/>
        </w:rPr>
        <w:t xml:space="preserve"> - </w:t>
      </w:r>
      <w:r>
        <w:t>Prezenta hot</w:t>
      </w:r>
      <w:r>
        <w:rPr>
          <w:rFonts w:eastAsia="Droid Sans Fallback"/>
        </w:rPr>
        <w:t>ărâre se poate contesta de cei interesaţi la instanţa competentă, în termenul prevăzut de lege.</w:t>
      </w:r>
    </w:p>
    <w:p w14:paraId="03B33E4D" w14:textId="77777777" w:rsidR="00543664" w:rsidRDefault="00543664" w:rsidP="00543664">
      <w:pPr>
        <w:pStyle w:val="BodyText"/>
        <w:spacing w:after="0"/>
        <w:jc w:val="both"/>
      </w:pPr>
    </w:p>
    <w:p w14:paraId="0E69BA4F" w14:textId="77777777" w:rsidR="00543664" w:rsidRDefault="00543664" w:rsidP="00543664">
      <w:pPr>
        <w:pStyle w:val="BodyText"/>
        <w:spacing w:after="0"/>
        <w:jc w:val="both"/>
        <w:rPr>
          <w:b/>
          <w:bCs/>
        </w:rPr>
      </w:pPr>
      <w:r>
        <w:t xml:space="preserve">      </w:t>
      </w:r>
      <w:r>
        <w:rPr>
          <w:b/>
          <w:bCs/>
          <w:color w:val="000000"/>
          <w:u w:val="single"/>
        </w:rPr>
        <w:t>Art.3.</w:t>
      </w:r>
      <w:r>
        <w:rPr>
          <w:color w:val="000000"/>
        </w:rPr>
        <w:t xml:space="preserve"> - Prezenta hotărâre se comunică Prefectului judeţului Hunedoara, Primarului municipiului Hunedoara, Direcţiei Economice, Serviciului Juridic, Administrație Publică Locală şi Autoritate Tutelară, Direcţiei Patrimoniu, Compartimentului Fond Locativ și Relația cu Asociațiile de Proprietari,</w:t>
      </w:r>
      <w:r>
        <w:t xml:space="preserve"> Compartimentului Audit Intern, S</w:t>
      </w:r>
      <w:r>
        <w:rPr>
          <w:bCs/>
        </w:rPr>
        <w:t>erviciului Informatică și Tehnică de Calcul, Încasări</w:t>
      </w:r>
      <w:r>
        <w:t xml:space="preserve">, </w:t>
      </w:r>
      <w:r>
        <w:rPr>
          <w:bCs/>
        </w:rPr>
        <w:t>Serviciului Relații cu Investitorii, Comunicare, Promovare</w:t>
      </w:r>
      <w:r>
        <w:t>, Serviciului Informații pentru Cetățeni și Relații Publice, Monitorul Oficial Local, Relația cu Mediul Asociativ.</w:t>
      </w:r>
    </w:p>
    <w:p w14:paraId="091D343B" w14:textId="77777777" w:rsidR="00543664" w:rsidRDefault="00543664" w:rsidP="00543664">
      <w:pPr>
        <w:pStyle w:val="BodyText"/>
        <w:spacing w:after="0"/>
        <w:jc w:val="both"/>
        <w:rPr>
          <w:b/>
          <w:bCs/>
        </w:rPr>
      </w:pPr>
    </w:p>
    <w:p w14:paraId="40697282" w14:textId="77777777" w:rsidR="00543664" w:rsidRDefault="00543664" w:rsidP="00543664">
      <w:pPr>
        <w:pStyle w:val="BodyText"/>
        <w:spacing w:after="0"/>
        <w:jc w:val="both"/>
        <w:rPr>
          <w:b/>
          <w:bCs/>
        </w:rPr>
      </w:pPr>
    </w:p>
    <w:p w14:paraId="285AAC1C" w14:textId="77777777" w:rsidR="00543664" w:rsidRDefault="00543664" w:rsidP="00543664">
      <w:pPr>
        <w:pStyle w:val="BodyText"/>
        <w:spacing w:after="0"/>
        <w:jc w:val="both"/>
        <w:rPr>
          <w:b/>
          <w:bCs/>
        </w:rPr>
      </w:pPr>
    </w:p>
    <w:p w14:paraId="39898191" w14:textId="77777777" w:rsidR="00543664" w:rsidRDefault="00543664" w:rsidP="00543664">
      <w:pPr>
        <w:jc w:val="center"/>
        <w:rPr>
          <w:b/>
          <w:bCs/>
        </w:rPr>
      </w:pPr>
      <w:r>
        <w:rPr>
          <w:b/>
          <w:bCs/>
        </w:rPr>
        <w:t>INIȚIATOR,</w:t>
      </w:r>
    </w:p>
    <w:p w14:paraId="6B3C77E2" w14:textId="77777777" w:rsidR="00543664" w:rsidRDefault="00543664" w:rsidP="00543664">
      <w:pPr>
        <w:pStyle w:val="Standard"/>
        <w:jc w:val="center"/>
        <w:rPr>
          <w:rFonts w:cs="Times New Roman"/>
          <w:b/>
          <w:bCs/>
        </w:rPr>
      </w:pPr>
      <w:r>
        <w:rPr>
          <w:rFonts w:cs="Times New Roman"/>
          <w:b/>
          <w:bCs/>
        </w:rPr>
        <w:t>PRIMAR</w:t>
      </w:r>
    </w:p>
    <w:p w14:paraId="09CFFBA3" w14:textId="77777777" w:rsidR="00543664" w:rsidRDefault="00543664" w:rsidP="00543664">
      <w:pPr>
        <w:pStyle w:val="Standard"/>
        <w:autoSpaceDE w:val="0"/>
        <w:jc w:val="center"/>
        <w:rPr>
          <w:rFonts w:cs="Times New Roman"/>
          <w:b/>
          <w:bCs/>
        </w:rPr>
      </w:pPr>
      <w:r>
        <w:rPr>
          <w:rFonts w:cs="Times New Roman"/>
          <w:b/>
          <w:bCs/>
        </w:rPr>
        <w:t xml:space="preserve">   DAN  BOBOUȚANU </w:t>
      </w:r>
    </w:p>
    <w:p w14:paraId="0AF54A4D" w14:textId="77777777" w:rsidR="00543664" w:rsidRDefault="00543664" w:rsidP="00543664">
      <w:pPr>
        <w:pStyle w:val="Standard"/>
        <w:autoSpaceDE w:val="0"/>
        <w:jc w:val="center"/>
        <w:rPr>
          <w:rFonts w:cs="Times New Roman"/>
          <w:b/>
          <w:bCs/>
        </w:rPr>
      </w:pPr>
      <w:r>
        <w:rPr>
          <w:rFonts w:cs="Times New Roman"/>
          <w:b/>
          <w:bCs/>
        </w:rPr>
        <w:t xml:space="preserve">                                                        </w:t>
      </w:r>
    </w:p>
    <w:p w14:paraId="7F301448" w14:textId="77777777" w:rsidR="00543664" w:rsidRDefault="00543664" w:rsidP="00543664">
      <w:pPr>
        <w:pStyle w:val="Standard"/>
        <w:autoSpaceDE w:val="0"/>
        <w:jc w:val="center"/>
        <w:rPr>
          <w:rFonts w:cs="Times New Roman"/>
          <w:b/>
          <w:bCs/>
        </w:rPr>
      </w:pPr>
      <w:r>
        <w:rPr>
          <w:rFonts w:cs="Times New Roman"/>
          <w:b/>
          <w:bCs/>
        </w:rPr>
        <w:t xml:space="preserve">                </w:t>
      </w:r>
    </w:p>
    <w:p w14:paraId="728703B7" w14:textId="77777777" w:rsidR="00543664" w:rsidRDefault="00543664" w:rsidP="00543664">
      <w:pPr>
        <w:pStyle w:val="Standard"/>
        <w:jc w:val="center"/>
        <w:rPr>
          <w:rFonts w:cs="Times New Roman"/>
          <w:b/>
          <w:bCs/>
          <w:color w:val="000000"/>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r>
        <w:rPr>
          <w:rFonts w:eastAsia="Times New Roman" w:cs="Times New Roman"/>
          <w:b/>
          <w:bCs/>
          <w:color w:val="000000"/>
        </w:rPr>
        <w:t>AV</w:t>
      </w:r>
      <w:r>
        <w:rPr>
          <w:rFonts w:cs="Times New Roman"/>
          <w:b/>
          <w:bCs/>
          <w:color w:val="000000"/>
        </w:rPr>
        <w:t xml:space="preserve">IZAT </w:t>
      </w:r>
    </w:p>
    <w:p w14:paraId="40A68389" w14:textId="77777777" w:rsidR="00543664" w:rsidRDefault="00543664" w:rsidP="00543664">
      <w:pPr>
        <w:pStyle w:val="Standard"/>
        <w:ind w:left="4942" w:firstLine="706"/>
        <w:jc w:val="center"/>
        <w:rPr>
          <w:rFonts w:eastAsia="Times New Roman" w:cs="Times New Roman"/>
          <w:b/>
          <w:bCs/>
          <w:color w:val="000000"/>
        </w:rPr>
      </w:pPr>
      <w:r>
        <w:rPr>
          <w:rFonts w:cs="Times New Roman"/>
          <w:b/>
          <w:bCs/>
          <w:color w:val="000000"/>
        </w:rPr>
        <w:t xml:space="preserve">   SECRETAR GENERAL,</w:t>
      </w:r>
    </w:p>
    <w:p w14:paraId="4F10E294" w14:textId="77777777" w:rsidR="00543664" w:rsidRDefault="00543664" w:rsidP="00543664">
      <w:pPr>
        <w:pStyle w:val="Standard"/>
        <w:jc w:val="center"/>
        <w:rPr>
          <w:rFonts w:eastAsia="Times New Roman" w:cs="Times New Roman"/>
          <w:b/>
          <w:bCs/>
          <w:color w:val="000000"/>
        </w:rPr>
      </w:pPr>
      <w:r>
        <w:rPr>
          <w:rFonts w:eastAsia="Times New Roman" w:cs="Times New Roman"/>
          <w:b/>
          <w:bCs/>
          <w:color w:val="000000"/>
        </w:rPr>
        <w:t xml:space="preserve">                                                                                               MILITON DĂNUȚ LASLĂU</w:t>
      </w:r>
    </w:p>
    <w:p w14:paraId="55D1305D" w14:textId="77777777" w:rsidR="00543664" w:rsidRDefault="00543664" w:rsidP="00543664">
      <w:pPr>
        <w:pStyle w:val="Standard"/>
        <w:jc w:val="center"/>
        <w:rPr>
          <w:rFonts w:eastAsia="Times New Roman" w:cs="Times New Roman"/>
          <w:b/>
          <w:bCs/>
          <w:color w:val="000000"/>
        </w:rPr>
      </w:pPr>
    </w:p>
    <w:sectPr w:rsidR="00543664" w:rsidSect="00822EC0">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248F1"/>
    <w:rsid w:val="0003066D"/>
    <w:rsid w:val="000355A4"/>
    <w:rsid w:val="000D309B"/>
    <w:rsid w:val="000F06A9"/>
    <w:rsid w:val="00185F8F"/>
    <w:rsid w:val="002C37BF"/>
    <w:rsid w:val="00303DA9"/>
    <w:rsid w:val="00314172"/>
    <w:rsid w:val="004D0465"/>
    <w:rsid w:val="004F1109"/>
    <w:rsid w:val="004F757C"/>
    <w:rsid w:val="00520C48"/>
    <w:rsid w:val="00543664"/>
    <w:rsid w:val="005A2CAB"/>
    <w:rsid w:val="006C15F0"/>
    <w:rsid w:val="006D1267"/>
    <w:rsid w:val="006E0806"/>
    <w:rsid w:val="006E7FCA"/>
    <w:rsid w:val="007041C9"/>
    <w:rsid w:val="00754786"/>
    <w:rsid w:val="007711A9"/>
    <w:rsid w:val="0077460D"/>
    <w:rsid w:val="00821DD1"/>
    <w:rsid w:val="00822EC0"/>
    <w:rsid w:val="00855E89"/>
    <w:rsid w:val="0087231B"/>
    <w:rsid w:val="008D77B9"/>
    <w:rsid w:val="008E7D2E"/>
    <w:rsid w:val="00A06D35"/>
    <w:rsid w:val="00A20E5A"/>
    <w:rsid w:val="00AB5851"/>
    <w:rsid w:val="00B07684"/>
    <w:rsid w:val="00B37CCA"/>
    <w:rsid w:val="00B54A02"/>
    <w:rsid w:val="00B629B0"/>
    <w:rsid w:val="00BC4BE7"/>
    <w:rsid w:val="00BF18F4"/>
    <w:rsid w:val="00BF2EC2"/>
    <w:rsid w:val="00D10B59"/>
    <w:rsid w:val="00D92A3C"/>
    <w:rsid w:val="00E806A4"/>
    <w:rsid w:val="00EB7425"/>
    <w:rsid w:val="00EF253C"/>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 w:type="paragraph" w:customStyle="1" w:styleId="Standard">
    <w:name w:val="Standard"/>
    <w:rsid w:val="00543664"/>
    <w:pPr>
      <w:widowControl w:val="0"/>
      <w:suppressAutoHyphens/>
      <w:spacing w:after="0" w:line="240" w:lineRule="auto"/>
    </w:pPr>
    <w:rPr>
      <w:rFonts w:ascii="Times New Roman" w:eastAsia="SimSun" w:hAnsi="Times New Roman" w:cs="Mangal"/>
      <w:kern w:val="1"/>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39</cp:revision>
  <dcterms:created xsi:type="dcterms:W3CDTF">2022-11-29T12:30:00Z</dcterms:created>
  <dcterms:modified xsi:type="dcterms:W3CDTF">2024-04-05T09:46:00Z</dcterms:modified>
</cp:coreProperties>
</file>