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9780" w:type="dxa"/>
        <w:tblLayout w:type="fixed"/>
        <w:tblLook w:val="04A0" w:firstRow="1" w:lastRow="0" w:firstColumn="1" w:lastColumn="0" w:noHBand="0" w:noVBand="1"/>
      </w:tblPr>
      <w:tblGrid>
        <w:gridCol w:w="3936"/>
        <w:gridCol w:w="2931"/>
        <w:gridCol w:w="2913"/>
      </w:tblGrid>
      <w:tr w:rsidR="004F1109" w:rsidRPr="004F1109" w14:paraId="10A488C8" w14:textId="77777777" w:rsidTr="00254D1E">
        <w:tc>
          <w:tcPr>
            <w:tcW w:w="3936" w:type="dxa"/>
            <w:hideMark/>
          </w:tcPr>
          <w:p w14:paraId="3DF84A90" w14:textId="77777777" w:rsidR="004F1109" w:rsidRPr="004F1109" w:rsidRDefault="004F1109" w:rsidP="004F1109">
            <w:pPr>
              <w:suppressAutoHyphens w:val="0"/>
              <w:spacing w:line="240" w:lineRule="auto"/>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ROMÂNIA</w:t>
            </w:r>
          </w:p>
          <w:p w14:paraId="79514B81" w14:textId="77777777" w:rsidR="004F1109" w:rsidRPr="004F1109" w:rsidRDefault="004F1109" w:rsidP="004F1109">
            <w:pPr>
              <w:suppressAutoHyphens w:val="0"/>
              <w:spacing w:line="240" w:lineRule="auto"/>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JUDEȚUL HUNEDOARA</w:t>
            </w:r>
          </w:p>
          <w:p w14:paraId="3ECA81DC" w14:textId="77777777" w:rsidR="004F1109" w:rsidRPr="004F1109" w:rsidRDefault="004F1109" w:rsidP="004F1109">
            <w:pPr>
              <w:suppressAutoHyphens w:val="0"/>
              <w:spacing w:line="240" w:lineRule="auto"/>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MUNICIPIUL HUNEDOARA</w:t>
            </w:r>
          </w:p>
          <w:p w14:paraId="79E4A145" w14:textId="77777777" w:rsidR="004F1109" w:rsidRPr="004F1109" w:rsidRDefault="004F1109" w:rsidP="004F1109">
            <w:pPr>
              <w:suppressAutoHyphens w:val="0"/>
              <w:spacing w:line="240" w:lineRule="auto"/>
              <w:rPr>
                <w:rFonts w:ascii="Arial" w:eastAsiaTheme="minorHAnsi" w:hAnsi="Arial" w:cs="Arial"/>
                <w:kern w:val="2"/>
                <w:lang w:eastAsia="en-US"/>
                <w14:ligatures w14:val="standardContextual"/>
              </w:rPr>
            </w:pPr>
            <w:r w:rsidRPr="004F1109">
              <w:rPr>
                <w:rFonts w:ascii="Arial" w:eastAsiaTheme="minorHAnsi" w:hAnsi="Arial" w:cs="Arial"/>
                <w:b/>
                <w:kern w:val="2"/>
                <w:lang w:eastAsia="en-US"/>
                <w14:ligatures w14:val="standardContextual"/>
              </w:rPr>
              <w:t>CONSILIUL LOCAL</w:t>
            </w:r>
          </w:p>
        </w:tc>
        <w:tc>
          <w:tcPr>
            <w:tcW w:w="2931" w:type="dxa"/>
            <w:hideMark/>
          </w:tcPr>
          <w:p w14:paraId="530BD7CA"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r w:rsidRPr="004F1109">
              <w:rPr>
                <w:rFonts w:ascii="Arial" w:eastAsiaTheme="minorHAnsi" w:hAnsi="Arial" w:cs="Arial"/>
                <w:noProof/>
                <w:kern w:val="2"/>
                <w:lang w:eastAsia="ro-RO"/>
                <w14:ligatures w14:val="standardContextual"/>
              </w:rPr>
              <w:drawing>
                <wp:inline distT="0" distB="0" distL="0" distR="0" wp14:anchorId="5F97B805" wp14:editId="5A7B716E">
                  <wp:extent cx="523875" cy="704850"/>
                  <wp:effectExtent l="19050" t="0" r="9525"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srcRect/>
                          <a:stretch>
                            <a:fillRect/>
                          </a:stretch>
                        </pic:blipFill>
                        <pic:spPr bwMode="auto">
                          <a:xfrm>
                            <a:off x="0" y="0"/>
                            <a:ext cx="523875" cy="704850"/>
                          </a:xfrm>
                          <a:prstGeom prst="rect">
                            <a:avLst/>
                          </a:prstGeom>
                          <a:solidFill>
                            <a:srgbClr val="FFFFFF"/>
                          </a:solidFill>
                          <a:ln w="9525">
                            <a:noFill/>
                            <a:miter lim="800000"/>
                            <a:headEnd/>
                            <a:tailEnd/>
                          </a:ln>
                        </pic:spPr>
                      </pic:pic>
                    </a:graphicData>
                  </a:graphic>
                </wp:inline>
              </w:drawing>
            </w:r>
          </w:p>
        </w:tc>
        <w:tc>
          <w:tcPr>
            <w:tcW w:w="2913" w:type="dxa"/>
          </w:tcPr>
          <w:p w14:paraId="086246D0"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p>
          <w:p w14:paraId="3D4358A7"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Proiect de Hotărâre</w:t>
            </w:r>
          </w:p>
          <w:p w14:paraId="5BACD642" w14:textId="77777777" w:rsidR="004F1109" w:rsidRPr="004F1109" w:rsidRDefault="004F1109" w:rsidP="004F1109">
            <w:pPr>
              <w:suppressAutoHyphens w:val="0"/>
              <w:spacing w:line="240" w:lineRule="auto"/>
              <w:jc w:val="center"/>
              <w:rPr>
                <w:rFonts w:ascii="Arial" w:eastAsiaTheme="minorHAnsi" w:hAnsi="Arial" w:cs="Arial"/>
                <w:kern w:val="2"/>
                <w:lang w:eastAsia="en-US"/>
                <w14:ligatures w14:val="standardContextual"/>
              </w:rPr>
            </w:pPr>
            <w:r w:rsidRPr="004F1109">
              <w:rPr>
                <w:rFonts w:ascii="Arial" w:eastAsiaTheme="minorHAnsi" w:hAnsi="Arial" w:cs="Arial"/>
                <w:b/>
                <w:kern w:val="2"/>
                <w:lang w:eastAsia="en-US"/>
                <w14:ligatures w14:val="standardContextual"/>
              </w:rPr>
              <w:t>Nr. 83/19.02.2024</w:t>
            </w:r>
          </w:p>
        </w:tc>
      </w:tr>
    </w:tbl>
    <w:p w14:paraId="13201C3A" w14:textId="77777777" w:rsidR="004F1109" w:rsidRPr="004F1109" w:rsidRDefault="004F1109" w:rsidP="004F1109">
      <w:pPr>
        <w:suppressAutoHyphens w:val="0"/>
        <w:spacing w:line="240" w:lineRule="auto"/>
        <w:rPr>
          <w:rFonts w:ascii="Arial" w:eastAsiaTheme="minorHAnsi" w:hAnsi="Arial" w:cs="Arial"/>
          <w:kern w:val="2"/>
          <w:lang w:eastAsia="en-US"/>
          <w14:ligatures w14:val="standardContextual"/>
        </w:rPr>
      </w:pPr>
    </w:p>
    <w:p w14:paraId="51E7A00E" w14:textId="77777777" w:rsidR="004F1109" w:rsidRPr="004F1109" w:rsidRDefault="004F1109" w:rsidP="004F1109">
      <w:pPr>
        <w:suppressAutoHyphens w:val="0"/>
        <w:spacing w:line="240" w:lineRule="auto"/>
        <w:jc w:val="center"/>
        <w:rPr>
          <w:rFonts w:ascii="Arial" w:eastAsiaTheme="minorHAnsi" w:hAnsi="Arial" w:cs="Arial"/>
          <w:b/>
          <w:kern w:val="2"/>
          <w:u w:val="single"/>
          <w:lang w:eastAsia="en-US"/>
          <w14:ligatures w14:val="standardContextual"/>
        </w:rPr>
      </w:pPr>
      <w:r w:rsidRPr="004F1109">
        <w:rPr>
          <w:rFonts w:ascii="Arial" w:eastAsiaTheme="minorHAnsi" w:hAnsi="Arial" w:cs="Arial"/>
          <w:b/>
          <w:kern w:val="2"/>
          <w:u w:val="single"/>
          <w:lang w:eastAsia="en-US"/>
          <w14:ligatures w14:val="standardContextual"/>
        </w:rPr>
        <w:t>HOTĂRÂREA  NR.____/2024</w:t>
      </w:r>
    </w:p>
    <w:p w14:paraId="3DF421C3" w14:textId="77777777" w:rsidR="004F1109" w:rsidRPr="004F1109" w:rsidRDefault="004F1109" w:rsidP="004F1109">
      <w:pPr>
        <w:suppressAutoHyphens w:val="0"/>
        <w:spacing w:line="240" w:lineRule="auto"/>
        <w:jc w:val="center"/>
        <w:rPr>
          <w:rFonts w:ascii="Arial" w:hAnsi="Arial" w:cs="Arial"/>
          <w:b/>
          <w:bCs/>
          <w:kern w:val="2"/>
          <w:lang w:eastAsia="en-US"/>
          <w14:ligatures w14:val="standardContextual"/>
        </w:rPr>
      </w:pPr>
      <w:r w:rsidRPr="004F1109">
        <w:rPr>
          <w:rFonts w:ascii="Arial" w:hAnsi="Arial" w:cs="Arial"/>
          <w:b/>
          <w:bCs/>
          <w:kern w:val="2"/>
          <w:lang w:eastAsia="en-US"/>
          <w14:ligatures w14:val="standardContextual"/>
        </w:rPr>
        <w:t xml:space="preserve">pentru aprobarea GHIDULUI SOLICITANTULUI pentru punerea în aplicare a Legii nr.350/2005 privind regimul finanțărilor nerambursabile din fondurile publice pentru activități non profit de interes general, cu modificările și completările ulterioare, a </w:t>
      </w:r>
      <w:r w:rsidRPr="004F1109">
        <w:rPr>
          <w:rFonts w:ascii="Arial" w:eastAsiaTheme="minorHAnsi" w:hAnsi="Arial" w:cs="Arial"/>
          <w:b/>
          <w:kern w:val="2"/>
          <w:lang w:eastAsia="en-US"/>
          <w14:ligatures w14:val="standardContextual"/>
        </w:rPr>
        <w:t xml:space="preserve">fondului anual alocat din bugetul local al municipiului Hunedoara pentru finanțarea proiectelor de interes public, precum și a Programului local pentru finanțarea nerambursabilă a activităților non profit de interes general, </w:t>
      </w:r>
      <w:r w:rsidRPr="004F1109">
        <w:rPr>
          <w:rFonts w:ascii="Arial" w:hAnsi="Arial" w:cs="Arial"/>
          <w:b/>
          <w:bCs/>
          <w:kern w:val="2"/>
          <w:lang w:eastAsia="en-US"/>
          <w14:ligatures w14:val="standardContextual"/>
        </w:rPr>
        <w:t>pentru anul 2024</w:t>
      </w:r>
    </w:p>
    <w:p w14:paraId="59C00629" w14:textId="77777777" w:rsidR="004F1109" w:rsidRPr="004F1109" w:rsidRDefault="004F1109" w:rsidP="004F1109">
      <w:pPr>
        <w:suppressAutoHyphens w:val="0"/>
        <w:spacing w:line="240" w:lineRule="auto"/>
        <w:jc w:val="both"/>
        <w:rPr>
          <w:rFonts w:ascii="Arial" w:eastAsiaTheme="minorHAnsi" w:hAnsi="Arial" w:cs="Arial"/>
          <w:b/>
          <w:kern w:val="2"/>
          <w:lang w:eastAsia="en-US"/>
          <w14:ligatures w14:val="standardContextual"/>
        </w:rPr>
      </w:pPr>
    </w:p>
    <w:p w14:paraId="36B9484F" w14:textId="77777777" w:rsidR="004F1109" w:rsidRPr="004F1109" w:rsidRDefault="004F1109" w:rsidP="004F1109">
      <w:pPr>
        <w:suppressAutoHyphens w:val="0"/>
        <w:spacing w:line="240" w:lineRule="auto"/>
        <w:jc w:val="both"/>
        <w:rPr>
          <w:rFonts w:ascii="Arial" w:eastAsiaTheme="minorHAnsi" w:hAnsi="Arial" w:cs="Arial"/>
          <w:b/>
          <w:kern w:val="2"/>
          <w:lang w:eastAsia="en-US"/>
          <w14:ligatures w14:val="standardContextual"/>
        </w:rPr>
      </w:pPr>
    </w:p>
    <w:p w14:paraId="7D17CA60" w14:textId="77777777" w:rsidR="004F1109" w:rsidRPr="004F1109" w:rsidRDefault="004F1109" w:rsidP="004F1109">
      <w:pPr>
        <w:suppressAutoHyphens w:val="0"/>
        <w:autoSpaceDE w:val="0"/>
        <w:autoSpaceDN w:val="0"/>
        <w:adjustRightInd w:val="0"/>
        <w:spacing w:line="240" w:lineRule="auto"/>
        <w:jc w:val="both"/>
        <w:rPr>
          <w:rFonts w:ascii="Arial" w:eastAsiaTheme="minorHAnsi" w:hAnsi="Arial" w:cs="Arial"/>
          <w:kern w:val="2"/>
          <w:lang w:eastAsia="ro-RO"/>
          <w14:ligatures w14:val="standardContextual"/>
        </w:rPr>
      </w:pPr>
      <w:r w:rsidRPr="004F1109">
        <w:rPr>
          <w:rFonts w:ascii="Arial" w:eastAsiaTheme="minorHAnsi" w:hAnsi="Arial" w:cs="Arial"/>
          <w:kern w:val="2"/>
          <w:lang w:eastAsia="ro-RO"/>
          <w14:ligatures w14:val="standardContextual"/>
        </w:rPr>
        <w:tab/>
        <w:t>Consiliul Local al Municipiului Hunedoara;</w:t>
      </w:r>
    </w:p>
    <w:p w14:paraId="14BBB040"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en-US"/>
          <w14:ligatures w14:val="standardContextual"/>
        </w:rPr>
      </w:pPr>
      <w:r w:rsidRPr="004F1109">
        <w:rPr>
          <w:rFonts w:ascii="Arial" w:eastAsiaTheme="minorHAnsi" w:hAnsi="Arial" w:cs="Arial"/>
          <w:kern w:val="2"/>
          <w:lang w:eastAsia="en-US"/>
          <w14:ligatures w14:val="standardContextual"/>
        </w:rPr>
        <w:t xml:space="preserve">Având în vedere Referatul de aprobare nr. 12991/19.02.2024 al Primarului municipiului Hunedoara prin care se propune </w:t>
      </w:r>
      <w:r w:rsidRPr="004F1109">
        <w:rPr>
          <w:rFonts w:ascii="Arial" w:hAnsi="Arial" w:cs="Arial"/>
          <w:bCs/>
          <w:kern w:val="2"/>
          <w:lang w:eastAsia="en-US"/>
          <w14:ligatures w14:val="standardContextual"/>
        </w:rPr>
        <w:t xml:space="preserve">aprobarea GHIDULUI SOLICITANTULUI pentru punerea în aplicare a Legii nr. 350/2005 privind regimul finanțărilor nerambursabile din fondurile publice pentru activități non profit de interes general, cu modificările și completările ulterioare, a </w:t>
      </w:r>
      <w:r w:rsidRPr="004F1109">
        <w:rPr>
          <w:rFonts w:ascii="Arial" w:eastAsiaTheme="minorHAnsi" w:hAnsi="Arial" w:cs="Arial"/>
          <w:kern w:val="2"/>
          <w:lang w:eastAsia="en-US"/>
          <w14:ligatures w14:val="standardContextual"/>
        </w:rPr>
        <w:t xml:space="preserve">fondului anual alocat din bugetul local al municipiului Hunedoara pentru finanțarea proiectelor de interes public, precum și a Programului local pentru finanțarea nerambursabilă a activităților non profit de interes general, </w:t>
      </w:r>
      <w:r w:rsidRPr="004F1109">
        <w:rPr>
          <w:rFonts w:ascii="Arial" w:hAnsi="Arial" w:cs="Arial"/>
          <w:bCs/>
          <w:kern w:val="2"/>
          <w:lang w:eastAsia="en-US"/>
          <w14:ligatures w14:val="standardContextual"/>
        </w:rPr>
        <w:t>pentru anul 2024</w:t>
      </w:r>
      <w:r w:rsidRPr="004F1109">
        <w:rPr>
          <w:rFonts w:ascii="Arial" w:eastAsiaTheme="minorHAnsi" w:hAnsi="Arial" w:cs="Arial"/>
          <w:snapToGrid w:val="0"/>
          <w:kern w:val="2"/>
          <w:lang w:eastAsia="el-GR"/>
          <w14:ligatures w14:val="standardContextual"/>
        </w:rPr>
        <w:t>;</w:t>
      </w:r>
    </w:p>
    <w:p w14:paraId="7F6545F6"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ro-RO"/>
          <w14:ligatures w14:val="standardContextual"/>
        </w:rPr>
      </w:pPr>
      <w:r w:rsidRPr="004F1109">
        <w:rPr>
          <w:rFonts w:ascii="Arial" w:eastAsiaTheme="minorHAnsi" w:hAnsi="Arial" w:cs="Arial"/>
          <w:kern w:val="2"/>
          <w:lang w:eastAsia="ro-RO"/>
          <w14:ligatures w14:val="standardContextual"/>
        </w:rPr>
        <w:t xml:space="preserve">În temeiul prevederilor Legii nr. 273/2006 privind finanțele publice locale, cu modificările și completările ulterioare, ale Legii nr. 350/2005 privind regimul finanțărilor nerambursabile din fonduri publice alocate pentru activități nonprofit de interes general, cu modificările și completările ulterioare, ale Legii nr. 98/2016 privind achizițiile publice, cu modificările și completările ulterioare, ale </w:t>
      </w:r>
      <w:r w:rsidRPr="004F1109">
        <w:rPr>
          <w:rFonts w:ascii="Arial" w:eastAsiaTheme="minorHAnsi" w:hAnsi="Arial" w:cs="Arial"/>
          <w:snapToGrid w:val="0"/>
          <w:kern w:val="2"/>
          <w:lang w:eastAsia="en-US"/>
          <w14:ligatures w14:val="standardContextual"/>
        </w:rPr>
        <w:t xml:space="preserve">Ordonanței Guvernului României nr. 26/2000 cu privire la asociații și fundații, cu modificările și completările ulterioare, </w:t>
      </w:r>
      <w:r w:rsidRPr="004F1109">
        <w:rPr>
          <w:rFonts w:ascii="Arial" w:eastAsiaTheme="minorHAnsi" w:hAnsi="Arial" w:cs="Arial"/>
          <w:kern w:val="2"/>
          <w:lang w:eastAsia="ro-RO"/>
          <w14:ligatures w14:val="standardContextual"/>
        </w:rPr>
        <w:t xml:space="preserve">precum și ale art. 4 lit. b) și art. 7 din </w:t>
      </w:r>
      <w:r w:rsidRPr="004F1109">
        <w:rPr>
          <w:rFonts w:ascii="Arial" w:eastAsiaTheme="minorHAnsi" w:hAnsi="Arial" w:cs="Arial"/>
          <w:bCs/>
          <w:kern w:val="2"/>
          <w:lang w:eastAsia="en-US"/>
          <w14:ligatures w14:val="standardContextual"/>
        </w:rPr>
        <w:t>Legea nr. 52/2003</w:t>
      </w:r>
      <w:r w:rsidRPr="004F1109">
        <w:rPr>
          <w:rFonts w:ascii="Arial" w:eastAsiaTheme="minorHAnsi" w:hAnsi="Arial" w:cs="Arial"/>
          <w:kern w:val="2"/>
          <w:lang w:eastAsia="en-US"/>
          <w14:ligatures w14:val="standardContextual"/>
        </w:rPr>
        <w:t>, privind transparența decizională în administrația publică, republicată, cu modificările și completările ulterioare</w:t>
      </w:r>
      <w:r w:rsidRPr="004F1109">
        <w:rPr>
          <w:rFonts w:ascii="Arial" w:eastAsiaTheme="minorHAnsi" w:hAnsi="Arial" w:cs="Arial"/>
          <w:kern w:val="2"/>
          <w:lang w:eastAsia="ro-RO"/>
          <w14:ligatures w14:val="standardContextual"/>
        </w:rPr>
        <w:t>;</w:t>
      </w:r>
    </w:p>
    <w:p w14:paraId="6B39EFD7"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ro-RO"/>
          <w14:ligatures w14:val="standardContextual"/>
        </w:rPr>
      </w:pPr>
      <w:r w:rsidRPr="004F1109">
        <w:rPr>
          <w:rFonts w:ascii="Arial" w:eastAsiaTheme="minorHAnsi" w:hAnsi="Arial" w:cs="Arial"/>
          <w:kern w:val="2"/>
          <w:lang w:eastAsia="ro-RO"/>
          <w14:ligatures w14:val="standardContextual"/>
        </w:rPr>
        <w:t xml:space="preserve">În temeiul dispozițiilor </w:t>
      </w:r>
      <w:r w:rsidRPr="004F1109">
        <w:rPr>
          <w:rFonts w:ascii="Arial" w:eastAsia="Arial-BoldMT" w:hAnsi="Arial" w:cs="Arial"/>
          <w:kern w:val="2"/>
          <w:lang w:eastAsia="en-US"/>
          <w14:ligatures w14:val="standardContextual"/>
        </w:rPr>
        <w:t xml:space="preserve">art. </w:t>
      </w:r>
      <w:r w:rsidRPr="004F1109">
        <w:rPr>
          <w:rFonts w:ascii="Arial" w:eastAsiaTheme="minorHAnsi" w:hAnsi="Arial" w:cs="Arial"/>
          <w:kern w:val="2"/>
          <w:lang w:eastAsia="en-US"/>
          <w14:ligatures w14:val="standardContextual"/>
        </w:rPr>
        <w:t>129 alin. (2), lit. d), alin. (7), lit. a), d), e), alin. (8), lit. a), alin. (14) și ale art. 139 coroborat cu art. 196 alin. (1) lit. a) din Ordonanța de urgență a Guvernului nr. 57/2019 privind Codul Administrativ, cu modificările și completările ulterioare</w:t>
      </w:r>
      <w:r w:rsidRPr="004F1109">
        <w:rPr>
          <w:rFonts w:ascii="Arial" w:eastAsiaTheme="minorHAnsi" w:hAnsi="Arial" w:cs="Arial"/>
          <w:kern w:val="2"/>
          <w:lang w:eastAsia="ro-RO"/>
          <w14:ligatures w14:val="standardContextual"/>
        </w:rPr>
        <w:t>;</w:t>
      </w:r>
    </w:p>
    <w:p w14:paraId="28B30684" w14:textId="77777777" w:rsidR="004F1109" w:rsidRPr="004F1109" w:rsidRDefault="004F1109" w:rsidP="004F1109">
      <w:pPr>
        <w:suppressAutoHyphens w:val="0"/>
        <w:autoSpaceDE w:val="0"/>
        <w:autoSpaceDN w:val="0"/>
        <w:adjustRightInd w:val="0"/>
        <w:spacing w:line="240" w:lineRule="auto"/>
        <w:jc w:val="center"/>
        <w:rPr>
          <w:rFonts w:ascii="Arial" w:eastAsiaTheme="minorHAnsi" w:hAnsi="Arial" w:cs="Arial"/>
          <w:b/>
          <w:bCs/>
          <w:kern w:val="2"/>
          <w:u w:val="single"/>
          <w:lang w:eastAsia="ro-RO"/>
          <w14:ligatures w14:val="standardContextual"/>
        </w:rPr>
      </w:pPr>
      <w:r w:rsidRPr="004F1109">
        <w:rPr>
          <w:rFonts w:ascii="Arial" w:eastAsiaTheme="minorHAnsi" w:hAnsi="Arial" w:cs="Arial"/>
          <w:b/>
          <w:bCs/>
          <w:kern w:val="2"/>
          <w:u w:val="single"/>
          <w:lang w:eastAsia="ro-RO"/>
          <w14:ligatures w14:val="standardContextual"/>
        </w:rPr>
        <w:t>H O T Ă R Ă Ș T E:</w:t>
      </w:r>
    </w:p>
    <w:p w14:paraId="770DAFB8" w14:textId="77777777" w:rsidR="004F1109" w:rsidRPr="004F1109" w:rsidRDefault="004F1109" w:rsidP="004F1109">
      <w:pPr>
        <w:suppressAutoHyphens w:val="0"/>
        <w:autoSpaceDE w:val="0"/>
        <w:autoSpaceDN w:val="0"/>
        <w:adjustRightInd w:val="0"/>
        <w:spacing w:line="240" w:lineRule="auto"/>
        <w:rPr>
          <w:rFonts w:ascii="Arial" w:eastAsiaTheme="minorHAnsi" w:hAnsi="Arial" w:cs="Arial"/>
          <w:b/>
          <w:bCs/>
          <w:kern w:val="2"/>
          <w:lang w:eastAsia="ro-RO"/>
          <w14:ligatures w14:val="standardContextual"/>
        </w:rPr>
      </w:pPr>
    </w:p>
    <w:p w14:paraId="631B27C5"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en-US"/>
          <w14:ligatures w14:val="standardContextual"/>
        </w:rPr>
      </w:pPr>
      <w:r w:rsidRPr="004F1109">
        <w:rPr>
          <w:rFonts w:ascii="Arial" w:eastAsiaTheme="minorHAnsi" w:hAnsi="Arial" w:cs="Arial"/>
          <w:b/>
          <w:bCs/>
          <w:kern w:val="2"/>
          <w:u w:val="single"/>
          <w:lang w:eastAsia="ro-RO"/>
          <w14:ligatures w14:val="standardContextual"/>
        </w:rPr>
        <w:t>Art.1.</w:t>
      </w:r>
      <w:r w:rsidRPr="004F1109">
        <w:rPr>
          <w:rFonts w:ascii="Arial" w:eastAsiaTheme="minorHAnsi" w:hAnsi="Arial" w:cs="Arial"/>
          <w:bCs/>
          <w:kern w:val="2"/>
          <w:lang w:eastAsia="ro-RO"/>
          <w14:ligatures w14:val="standardContextual"/>
        </w:rPr>
        <w:t xml:space="preserve"> – Aprobă </w:t>
      </w:r>
      <w:r w:rsidRPr="004F1109">
        <w:rPr>
          <w:rFonts w:ascii="Arial" w:eastAsiaTheme="minorHAnsi" w:hAnsi="Arial" w:cs="Arial"/>
          <w:kern w:val="2"/>
          <w:lang w:eastAsia="en-US"/>
          <w14:ligatures w14:val="standardContextual"/>
        </w:rPr>
        <w:t xml:space="preserve">GHIDUL SOLICITANTULUI pentru punerea în aplicare a Legii nr.350/2005 privind regimul finanțărilor nerambursabile din fondurile publice alocate pentru activități nonprofit de interes general, cu modificările și completările ulterioare, pentru anul 2024, conform </w:t>
      </w:r>
      <w:r w:rsidRPr="004F1109">
        <w:rPr>
          <w:rFonts w:ascii="Arial" w:eastAsiaTheme="minorHAnsi" w:hAnsi="Arial" w:cs="Arial"/>
          <w:b/>
          <w:bCs/>
          <w:kern w:val="2"/>
          <w:lang w:eastAsia="en-US"/>
          <w14:ligatures w14:val="standardContextual"/>
        </w:rPr>
        <w:t xml:space="preserve">Anexei nr. 1 </w:t>
      </w:r>
      <w:r w:rsidRPr="004F1109">
        <w:rPr>
          <w:rFonts w:ascii="Arial" w:eastAsiaTheme="minorHAnsi" w:hAnsi="Arial" w:cs="Arial"/>
          <w:kern w:val="2"/>
          <w:lang w:eastAsia="en-US"/>
          <w14:ligatures w14:val="standardContextual"/>
        </w:rPr>
        <w:t>care face parte integrantă din prezenta hotărâre.</w:t>
      </w:r>
    </w:p>
    <w:p w14:paraId="23D18935"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en-US"/>
          <w14:ligatures w14:val="standardContextual"/>
        </w:rPr>
      </w:pPr>
    </w:p>
    <w:p w14:paraId="38898B86" w14:textId="77777777" w:rsidR="004F1109" w:rsidRPr="004F1109" w:rsidRDefault="004F1109" w:rsidP="004F1109">
      <w:pPr>
        <w:suppressAutoHyphens w:val="0"/>
        <w:spacing w:line="240" w:lineRule="auto"/>
        <w:ind w:firstLine="720"/>
        <w:jc w:val="both"/>
        <w:rPr>
          <w:rFonts w:ascii="Arial" w:eastAsiaTheme="minorHAnsi" w:hAnsi="Arial" w:cs="Arial"/>
          <w:bCs/>
          <w:kern w:val="2"/>
          <w:lang w:eastAsia="ro-RO"/>
          <w14:ligatures w14:val="standardContextual"/>
        </w:rPr>
      </w:pPr>
      <w:r w:rsidRPr="004F1109">
        <w:rPr>
          <w:rFonts w:ascii="Arial" w:eastAsiaTheme="minorHAnsi" w:hAnsi="Arial" w:cs="Arial"/>
          <w:b/>
          <w:bCs/>
          <w:kern w:val="2"/>
          <w:u w:val="single"/>
          <w:lang w:eastAsia="ro-RO"/>
          <w14:ligatures w14:val="standardContextual"/>
        </w:rPr>
        <w:t>Art. 2.</w:t>
      </w:r>
      <w:r w:rsidRPr="004F1109">
        <w:rPr>
          <w:rFonts w:ascii="Arial" w:eastAsiaTheme="minorHAnsi" w:hAnsi="Arial" w:cs="Arial"/>
          <w:bCs/>
          <w:kern w:val="2"/>
          <w:lang w:eastAsia="ro-RO"/>
          <w14:ligatures w14:val="standardContextual"/>
        </w:rPr>
        <w:t>–Se aprobă fondul anual alocat din bugetul local al municipiului Hunedoara pentru finanțarea proiectelor de interes public pe anul 2024 în sumă de 350.000 lei, după cum urmează:</w:t>
      </w:r>
    </w:p>
    <w:p w14:paraId="0FBA6248" w14:textId="77777777" w:rsidR="004F1109" w:rsidRPr="004F1109" w:rsidRDefault="004F1109" w:rsidP="004F1109">
      <w:pPr>
        <w:suppressAutoHyphens w:val="0"/>
        <w:spacing w:line="240" w:lineRule="auto"/>
        <w:ind w:firstLine="720"/>
        <w:jc w:val="both"/>
        <w:rPr>
          <w:rFonts w:ascii="Arial" w:eastAsiaTheme="minorHAnsi" w:hAnsi="Arial" w:cs="Arial"/>
          <w:bCs/>
          <w:kern w:val="2"/>
          <w:lang w:eastAsia="ro-RO"/>
          <w14:ligatures w14:val="standardContextual"/>
        </w:rPr>
      </w:pPr>
    </w:p>
    <w:tbl>
      <w:tblPr>
        <w:tblW w:w="0" w:type="auto"/>
        <w:tblInd w:w="1008" w:type="dxa"/>
        <w:tblLayout w:type="fixed"/>
        <w:tblLook w:val="0000" w:firstRow="0" w:lastRow="0" w:firstColumn="0" w:lastColumn="0" w:noHBand="0" w:noVBand="0"/>
      </w:tblPr>
      <w:tblGrid>
        <w:gridCol w:w="630"/>
        <w:gridCol w:w="5810"/>
        <w:gridCol w:w="1610"/>
      </w:tblGrid>
      <w:tr w:rsidR="004F1109" w:rsidRPr="004F1109" w14:paraId="0D223B10" w14:textId="77777777" w:rsidTr="00254D1E">
        <w:trPr>
          <w:trHeight w:val="734"/>
        </w:trPr>
        <w:tc>
          <w:tcPr>
            <w:tcW w:w="630" w:type="dxa"/>
            <w:tcBorders>
              <w:top w:val="single" w:sz="4" w:space="0" w:color="000000"/>
              <w:left w:val="single" w:sz="4" w:space="0" w:color="000000"/>
              <w:bottom w:val="single" w:sz="4" w:space="0" w:color="000000"/>
            </w:tcBorders>
          </w:tcPr>
          <w:p w14:paraId="7C592C62" w14:textId="77777777" w:rsidR="004F1109" w:rsidRPr="004F1109" w:rsidRDefault="004F1109" w:rsidP="004F1109">
            <w:pPr>
              <w:suppressAutoHyphens w:val="0"/>
              <w:autoSpaceDE w:val="0"/>
              <w:snapToGrid w:val="0"/>
              <w:spacing w:after="160" w:line="259" w:lineRule="auto"/>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Nr. crt.</w:t>
            </w:r>
          </w:p>
        </w:tc>
        <w:tc>
          <w:tcPr>
            <w:tcW w:w="5810" w:type="dxa"/>
            <w:tcBorders>
              <w:top w:val="single" w:sz="4" w:space="0" w:color="000000"/>
              <w:left w:val="single" w:sz="4" w:space="0" w:color="000000"/>
              <w:bottom w:val="single" w:sz="4" w:space="0" w:color="000000"/>
            </w:tcBorders>
          </w:tcPr>
          <w:p w14:paraId="0408AFB4" w14:textId="77777777" w:rsidR="004F1109" w:rsidRPr="004F1109" w:rsidRDefault="004F1109" w:rsidP="004F1109">
            <w:pPr>
              <w:suppressAutoHyphens w:val="0"/>
              <w:autoSpaceDE w:val="0"/>
              <w:snapToGrid w:val="0"/>
              <w:spacing w:after="160" w:line="259" w:lineRule="auto"/>
              <w:jc w:val="center"/>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Domeniu pentru care se  alocă sume de la bugetul local în 2024</w:t>
            </w:r>
          </w:p>
        </w:tc>
        <w:tc>
          <w:tcPr>
            <w:tcW w:w="1610" w:type="dxa"/>
            <w:tcBorders>
              <w:top w:val="single" w:sz="4" w:space="0" w:color="000000"/>
              <w:left w:val="single" w:sz="4" w:space="0" w:color="000000"/>
              <w:bottom w:val="single" w:sz="4" w:space="0" w:color="000000"/>
              <w:right w:val="single" w:sz="4" w:space="0" w:color="000000"/>
            </w:tcBorders>
          </w:tcPr>
          <w:p w14:paraId="5C4948DB" w14:textId="77777777" w:rsidR="004F1109" w:rsidRPr="004F1109" w:rsidRDefault="004F1109" w:rsidP="004F1109">
            <w:pPr>
              <w:suppressAutoHyphens w:val="0"/>
              <w:autoSpaceDE w:val="0"/>
              <w:snapToGrid w:val="0"/>
              <w:spacing w:line="240" w:lineRule="auto"/>
              <w:jc w:val="right"/>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Suma</w:t>
            </w:r>
          </w:p>
          <w:p w14:paraId="027CE9CE" w14:textId="77777777" w:rsidR="004F1109" w:rsidRPr="004F1109" w:rsidRDefault="004F1109" w:rsidP="004F1109">
            <w:pPr>
              <w:suppressAutoHyphens w:val="0"/>
              <w:autoSpaceDE w:val="0"/>
              <w:spacing w:line="240" w:lineRule="auto"/>
              <w:jc w:val="right"/>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Lei</w:t>
            </w:r>
          </w:p>
        </w:tc>
      </w:tr>
      <w:tr w:rsidR="004F1109" w:rsidRPr="004F1109" w14:paraId="2B9B9273" w14:textId="77777777" w:rsidTr="00254D1E">
        <w:trPr>
          <w:trHeight w:val="329"/>
        </w:trPr>
        <w:tc>
          <w:tcPr>
            <w:tcW w:w="630" w:type="dxa"/>
            <w:tcBorders>
              <w:top w:val="single" w:sz="4" w:space="0" w:color="000000"/>
              <w:left w:val="single" w:sz="4" w:space="0" w:color="000000"/>
              <w:bottom w:val="single" w:sz="4" w:space="0" w:color="000000"/>
            </w:tcBorders>
          </w:tcPr>
          <w:p w14:paraId="75408344" w14:textId="77777777" w:rsidR="004F1109" w:rsidRPr="004F1109" w:rsidRDefault="004F1109" w:rsidP="004F1109">
            <w:pPr>
              <w:suppressAutoHyphens w:val="0"/>
              <w:autoSpaceDE w:val="0"/>
              <w:snapToGrid w:val="0"/>
              <w:spacing w:line="240" w:lineRule="auto"/>
              <w:rPr>
                <w:rFonts w:ascii="Arial" w:eastAsiaTheme="minorHAnsi" w:hAnsi="Arial" w:cs="Arial"/>
                <w:bCs/>
                <w:kern w:val="2"/>
                <w:lang w:eastAsia="en-US"/>
                <w14:ligatures w14:val="standardContextual"/>
              </w:rPr>
            </w:pPr>
            <w:r w:rsidRPr="004F1109">
              <w:rPr>
                <w:rFonts w:ascii="Arial" w:eastAsiaTheme="minorHAnsi" w:hAnsi="Arial" w:cs="Arial"/>
                <w:bCs/>
                <w:kern w:val="2"/>
                <w:lang w:eastAsia="en-US"/>
                <w14:ligatures w14:val="standardContextual"/>
              </w:rPr>
              <w:t>1.</w:t>
            </w:r>
          </w:p>
        </w:tc>
        <w:tc>
          <w:tcPr>
            <w:tcW w:w="5810" w:type="dxa"/>
            <w:tcBorders>
              <w:top w:val="single" w:sz="4" w:space="0" w:color="000000"/>
              <w:left w:val="single" w:sz="4" w:space="0" w:color="000000"/>
              <w:bottom w:val="single" w:sz="4" w:space="0" w:color="000000"/>
            </w:tcBorders>
          </w:tcPr>
          <w:p w14:paraId="46F8D037" w14:textId="77777777" w:rsidR="004F1109" w:rsidRPr="004F1109" w:rsidRDefault="004F1109" w:rsidP="004F1109">
            <w:pPr>
              <w:suppressAutoHyphens w:val="0"/>
              <w:autoSpaceDE w:val="0"/>
              <w:snapToGrid w:val="0"/>
              <w:spacing w:line="240" w:lineRule="auto"/>
              <w:rPr>
                <w:rFonts w:ascii="Arial" w:eastAsiaTheme="minorHAnsi" w:hAnsi="Arial" w:cs="Arial"/>
                <w:kern w:val="2"/>
                <w:lang w:eastAsia="en-US"/>
                <w14:ligatures w14:val="standardContextual"/>
              </w:rPr>
            </w:pPr>
            <w:r w:rsidRPr="004F1109">
              <w:rPr>
                <w:rFonts w:ascii="Arial" w:eastAsiaTheme="minorHAnsi" w:hAnsi="Arial" w:cs="Arial"/>
                <w:kern w:val="2"/>
                <w:lang w:eastAsia="en-US"/>
                <w14:ligatures w14:val="standardContextual"/>
              </w:rPr>
              <w:t>Cultură</w:t>
            </w:r>
          </w:p>
        </w:tc>
        <w:tc>
          <w:tcPr>
            <w:tcW w:w="1610" w:type="dxa"/>
            <w:tcBorders>
              <w:top w:val="single" w:sz="4" w:space="0" w:color="000000"/>
              <w:left w:val="single" w:sz="4" w:space="0" w:color="000000"/>
              <w:bottom w:val="single" w:sz="4" w:space="0" w:color="000000"/>
              <w:right w:val="single" w:sz="4" w:space="0" w:color="000000"/>
            </w:tcBorders>
          </w:tcPr>
          <w:p w14:paraId="525896BC" w14:textId="77777777" w:rsidR="004F1109" w:rsidRPr="004F1109" w:rsidRDefault="004F1109" w:rsidP="004F1109">
            <w:pPr>
              <w:suppressAutoHyphens w:val="0"/>
              <w:autoSpaceDE w:val="0"/>
              <w:snapToGrid w:val="0"/>
              <w:spacing w:line="240" w:lineRule="auto"/>
              <w:jc w:val="right"/>
              <w:rPr>
                <w:rFonts w:ascii="Arial" w:eastAsiaTheme="minorHAnsi" w:hAnsi="Arial" w:cs="Arial"/>
                <w:bCs/>
                <w:kern w:val="2"/>
                <w:lang w:eastAsia="en-US"/>
                <w14:ligatures w14:val="standardContextual"/>
              </w:rPr>
            </w:pPr>
            <w:r w:rsidRPr="004F1109">
              <w:rPr>
                <w:rFonts w:ascii="Arial" w:eastAsiaTheme="minorHAnsi" w:hAnsi="Arial" w:cs="Arial"/>
                <w:bCs/>
                <w:kern w:val="2"/>
                <w:lang w:eastAsia="en-US"/>
                <w14:ligatures w14:val="standardContextual"/>
              </w:rPr>
              <w:t>200.000</w:t>
            </w:r>
          </w:p>
        </w:tc>
      </w:tr>
      <w:tr w:rsidR="004F1109" w:rsidRPr="004F1109" w14:paraId="1C55F3D4" w14:textId="77777777" w:rsidTr="00254D1E">
        <w:trPr>
          <w:trHeight w:val="329"/>
        </w:trPr>
        <w:tc>
          <w:tcPr>
            <w:tcW w:w="630" w:type="dxa"/>
            <w:tcBorders>
              <w:top w:val="single" w:sz="4" w:space="0" w:color="000000"/>
              <w:left w:val="single" w:sz="4" w:space="0" w:color="000000"/>
              <w:bottom w:val="single" w:sz="4" w:space="0" w:color="000000"/>
            </w:tcBorders>
          </w:tcPr>
          <w:p w14:paraId="0A4E0BB0" w14:textId="77777777" w:rsidR="004F1109" w:rsidRPr="004F1109" w:rsidRDefault="004F1109" w:rsidP="004F1109">
            <w:pPr>
              <w:suppressAutoHyphens w:val="0"/>
              <w:autoSpaceDE w:val="0"/>
              <w:snapToGrid w:val="0"/>
              <w:spacing w:line="240" w:lineRule="auto"/>
              <w:rPr>
                <w:rFonts w:ascii="Arial" w:eastAsiaTheme="minorHAnsi" w:hAnsi="Arial" w:cs="Arial"/>
                <w:bCs/>
                <w:kern w:val="2"/>
                <w:lang w:eastAsia="en-US"/>
                <w14:ligatures w14:val="standardContextual"/>
              </w:rPr>
            </w:pPr>
            <w:r w:rsidRPr="004F1109">
              <w:rPr>
                <w:rFonts w:ascii="Arial" w:eastAsiaTheme="minorHAnsi" w:hAnsi="Arial" w:cs="Arial"/>
                <w:bCs/>
                <w:kern w:val="2"/>
                <w:lang w:eastAsia="en-US"/>
                <w14:ligatures w14:val="standardContextual"/>
              </w:rPr>
              <w:t>2.</w:t>
            </w:r>
          </w:p>
        </w:tc>
        <w:tc>
          <w:tcPr>
            <w:tcW w:w="5810" w:type="dxa"/>
            <w:tcBorders>
              <w:top w:val="single" w:sz="4" w:space="0" w:color="000000"/>
              <w:left w:val="single" w:sz="4" w:space="0" w:color="000000"/>
              <w:bottom w:val="single" w:sz="4" w:space="0" w:color="000000"/>
            </w:tcBorders>
          </w:tcPr>
          <w:p w14:paraId="6F232478" w14:textId="77777777" w:rsidR="004F1109" w:rsidRPr="004F1109" w:rsidRDefault="004F1109" w:rsidP="004F1109">
            <w:pPr>
              <w:suppressAutoHyphens w:val="0"/>
              <w:autoSpaceDE w:val="0"/>
              <w:snapToGrid w:val="0"/>
              <w:spacing w:line="240" w:lineRule="auto"/>
              <w:rPr>
                <w:rFonts w:ascii="Arial" w:eastAsiaTheme="minorHAnsi" w:hAnsi="Arial" w:cs="Arial"/>
                <w:kern w:val="2"/>
                <w:lang w:eastAsia="en-US"/>
                <w14:ligatures w14:val="standardContextual"/>
              </w:rPr>
            </w:pPr>
            <w:r w:rsidRPr="004F1109">
              <w:rPr>
                <w:rFonts w:ascii="Arial" w:eastAsiaTheme="minorHAnsi" w:hAnsi="Arial" w:cs="Arial"/>
                <w:kern w:val="2"/>
                <w:lang w:eastAsia="en-US"/>
                <w14:ligatures w14:val="standardContextual"/>
              </w:rPr>
              <w:t xml:space="preserve">Tineret </w:t>
            </w:r>
          </w:p>
        </w:tc>
        <w:tc>
          <w:tcPr>
            <w:tcW w:w="1610" w:type="dxa"/>
            <w:tcBorders>
              <w:top w:val="single" w:sz="4" w:space="0" w:color="000000"/>
              <w:left w:val="single" w:sz="4" w:space="0" w:color="000000"/>
              <w:bottom w:val="single" w:sz="4" w:space="0" w:color="000000"/>
              <w:right w:val="single" w:sz="4" w:space="0" w:color="000000"/>
            </w:tcBorders>
          </w:tcPr>
          <w:p w14:paraId="323AFF03" w14:textId="77777777" w:rsidR="004F1109" w:rsidRPr="004F1109" w:rsidRDefault="004F1109" w:rsidP="004F1109">
            <w:pPr>
              <w:suppressAutoHyphens w:val="0"/>
              <w:autoSpaceDE w:val="0"/>
              <w:snapToGrid w:val="0"/>
              <w:spacing w:line="240" w:lineRule="auto"/>
              <w:jc w:val="right"/>
              <w:rPr>
                <w:rFonts w:ascii="Arial" w:eastAsiaTheme="minorHAnsi" w:hAnsi="Arial" w:cs="Arial"/>
                <w:bCs/>
                <w:kern w:val="2"/>
                <w:lang w:eastAsia="en-US"/>
                <w14:ligatures w14:val="standardContextual"/>
              </w:rPr>
            </w:pPr>
            <w:r w:rsidRPr="004F1109">
              <w:rPr>
                <w:rFonts w:ascii="Arial" w:eastAsiaTheme="minorHAnsi" w:hAnsi="Arial" w:cs="Arial"/>
                <w:bCs/>
                <w:kern w:val="2"/>
                <w:lang w:eastAsia="en-US"/>
                <w14:ligatures w14:val="standardContextual"/>
              </w:rPr>
              <w:t>150.000</w:t>
            </w:r>
          </w:p>
        </w:tc>
      </w:tr>
      <w:tr w:rsidR="004F1109" w:rsidRPr="004F1109" w14:paraId="7371B130" w14:textId="77777777" w:rsidTr="00254D1E">
        <w:trPr>
          <w:trHeight w:val="356"/>
        </w:trPr>
        <w:tc>
          <w:tcPr>
            <w:tcW w:w="630" w:type="dxa"/>
            <w:tcBorders>
              <w:top w:val="single" w:sz="4" w:space="0" w:color="000000"/>
              <w:left w:val="single" w:sz="4" w:space="0" w:color="000000"/>
              <w:bottom w:val="single" w:sz="4" w:space="0" w:color="000000"/>
            </w:tcBorders>
          </w:tcPr>
          <w:p w14:paraId="2877C869" w14:textId="77777777" w:rsidR="004F1109" w:rsidRPr="004F1109" w:rsidRDefault="004F1109" w:rsidP="004F1109">
            <w:pPr>
              <w:suppressAutoHyphens w:val="0"/>
              <w:autoSpaceDE w:val="0"/>
              <w:snapToGrid w:val="0"/>
              <w:spacing w:line="240" w:lineRule="auto"/>
              <w:rPr>
                <w:rFonts w:ascii="Arial" w:eastAsiaTheme="minorHAnsi" w:hAnsi="Arial" w:cs="Arial"/>
                <w:b/>
                <w:bCs/>
                <w:kern w:val="2"/>
                <w:lang w:eastAsia="en-US"/>
                <w14:ligatures w14:val="standardContextual"/>
              </w:rPr>
            </w:pPr>
          </w:p>
        </w:tc>
        <w:tc>
          <w:tcPr>
            <w:tcW w:w="5810" w:type="dxa"/>
            <w:tcBorders>
              <w:top w:val="single" w:sz="4" w:space="0" w:color="000000"/>
              <w:left w:val="single" w:sz="4" w:space="0" w:color="000000"/>
              <w:bottom w:val="single" w:sz="4" w:space="0" w:color="000000"/>
            </w:tcBorders>
          </w:tcPr>
          <w:p w14:paraId="1650270F" w14:textId="77777777" w:rsidR="004F1109" w:rsidRPr="004F1109" w:rsidRDefault="004F1109" w:rsidP="004F1109">
            <w:pPr>
              <w:suppressAutoHyphens w:val="0"/>
              <w:autoSpaceDE w:val="0"/>
              <w:snapToGrid w:val="0"/>
              <w:spacing w:line="240" w:lineRule="auto"/>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TOTAL</w:t>
            </w:r>
          </w:p>
        </w:tc>
        <w:tc>
          <w:tcPr>
            <w:tcW w:w="1610" w:type="dxa"/>
            <w:tcBorders>
              <w:top w:val="single" w:sz="4" w:space="0" w:color="000000"/>
              <w:left w:val="single" w:sz="4" w:space="0" w:color="000000"/>
              <w:bottom w:val="single" w:sz="4" w:space="0" w:color="000000"/>
              <w:right w:val="single" w:sz="4" w:space="0" w:color="000000"/>
            </w:tcBorders>
          </w:tcPr>
          <w:p w14:paraId="1BF725CC" w14:textId="77777777" w:rsidR="004F1109" w:rsidRPr="004F1109" w:rsidRDefault="004F1109" w:rsidP="004F1109">
            <w:pPr>
              <w:suppressAutoHyphens w:val="0"/>
              <w:autoSpaceDE w:val="0"/>
              <w:snapToGrid w:val="0"/>
              <w:spacing w:line="240" w:lineRule="auto"/>
              <w:jc w:val="right"/>
              <w:rPr>
                <w:rFonts w:ascii="Arial" w:eastAsiaTheme="minorHAnsi" w:hAnsi="Arial" w:cs="Arial"/>
                <w:b/>
                <w:bCs/>
                <w:kern w:val="2"/>
                <w:lang w:eastAsia="en-US"/>
                <w14:ligatures w14:val="standardContextual"/>
              </w:rPr>
            </w:pPr>
            <w:r w:rsidRPr="004F1109">
              <w:rPr>
                <w:rFonts w:ascii="Arial" w:eastAsiaTheme="minorHAnsi" w:hAnsi="Arial" w:cs="Arial"/>
                <w:b/>
                <w:bCs/>
                <w:kern w:val="2"/>
                <w:lang w:eastAsia="en-US"/>
                <w14:ligatures w14:val="standardContextual"/>
              </w:rPr>
              <w:t>350.000</w:t>
            </w:r>
          </w:p>
        </w:tc>
      </w:tr>
    </w:tbl>
    <w:p w14:paraId="6BA77379"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en-US"/>
          <w14:ligatures w14:val="standardContextual"/>
        </w:rPr>
      </w:pPr>
    </w:p>
    <w:p w14:paraId="1205DEAC" w14:textId="77777777" w:rsidR="004F1109" w:rsidRPr="004F1109" w:rsidRDefault="004F1109" w:rsidP="004F1109">
      <w:pPr>
        <w:suppressAutoHyphens w:val="0"/>
        <w:spacing w:line="240" w:lineRule="auto"/>
        <w:ind w:firstLine="720"/>
        <w:jc w:val="both"/>
        <w:rPr>
          <w:rFonts w:ascii="Arial" w:eastAsiaTheme="minorHAnsi" w:hAnsi="Arial" w:cs="Arial"/>
          <w:bCs/>
          <w:kern w:val="2"/>
          <w:lang w:eastAsia="ro-RO"/>
          <w14:ligatures w14:val="standardContextual"/>
        </w:rPr>
      </w:pPr>
      <w:r w:rsidRPr="004F1109">
        <w:rPr>
          <w:rFonts w:ascii="Arial" w:eastAsiaTheme="minorHAnsi" w:hAnsi="Arial" w:cs="Arial"/>
          <w:b/>
          <w:bCs/>
          <w:kern w:val="2"/>
          <w:u w:val="single"/>
          <w:lang w:eastAsia="ro-RO"/>
          <w14:ligatures w14:val="standardContextual"/>
        </w:rPr>
        <w:t>Art. 3.</w:t>
      </w:r>
      <w:r w:rsidRPr="004F1109">
        <w:rPr>
          <w:rFonts w:ascii="Arial" w:eastAsiaTheme="minorHAnsi" w:hAnsi="Arial" w:cs="Arial"/>
          <w:bCs/>
          <w:kern w:val="2"/>
          <w:lang w:eastAsia="ro-RO"/>
          <w14:ligatures w14:val="standardContextual"/>
        </w:rPr>
        <w:t xml:space="preserve"> - Se aprobă Programul local pentru finanțarea nerambursabilă a activităților nonprofit de interes general pe anul 2024, prevăzut în </w:t>
      </w:r>
      <w:r w:rsidRPr="004F1109">
        <w:rPr>
          <w:rFonts w:ascii="Arial" w:eastAsiaTheme="minorHAnsi" w:hAnsi="Arial" w:cs="Arial"/>
          <w:b/>
          <w:kern w:val="2"/>
          <w:lang w:eastAsia="ro-RO"/>
          <w14:ligatures w14:val="standardContextual"/>
        </w:rPr>
        <w:t xml:space="preserve">Anexa nr. 2 </w:t>
      </w:r>
      <w:r w:rsidRPr="004F1109">
        <w:rPr>
          <w:rFonts w:ascii="Arial" w:eastAsiaTheme="minorHAnsi" w:hAnsi="Arial" w:cs="Arial"/>
          <w:bCs/>
          <w:kern w:val="2"/>
          <w:lang w:eastAsia="ro-RO"/>
          <w14:ligatures w14:val="standardContextual"/>
        </w:rPr>
        <w:t>care face parte integrantă din prezenta hotărâre.</w:t>
      </w:r>
    </w:p>
    <w:p w14:paraId="063C2DC0" w14:textId="77777777" w:rsidR="004F1109" w:rsidRPr="004F1109" w:rsidRDefault="004F1109" w:rsidP="004F1109">
      <w:pPr>
        <w:suppressAutoHyphens w:val="0"/>
        <w:spacing w:line="240" w:lineRule="auto"/>
        <w:ind w:firstLine="720"/>
        <w:jc w:val="both"/>
        <w:rPr>
          <w:rFonts w:ascii="Arial" w:eastAsiaTheme="minorHAnsi" w:hAnsi="Arial" w:cs="Arial"/>
          <w:kern w:val="2"/>
          <w:lang w:eastAsia="en-US"/>
          <w14:ligatures w14:val="standardContextual"/>
        </w:rPr>
      </w:pPr>
    </w:p>
    <w:p w14:paraId="4DB3DA3E" w14:textId="77777777" w:rsidR="004F1109" w:rsidRPr="004F1109" w:rsidRDefault="004F1109" w:rsidP="004F1109">
      <w:pPr>
        <w:suppressAutoHyphens w:val="0"/>
        <w:spacing w:line="240" w:lineRule="auto"/>
        <w:ind w:firstLine="708"/>
        <w:jc w:val="both"/>
        <w:rPr>
          <w:rFonts w:ascii="Arial" w:eastAsiaTheme="minorHAnsi" w:hAnsi="Arial" w:cs="Arial"/>
          <w:kern w:val="2"/>
          <w:lang w:eastAsia="en-US"/>
          <w14:ligatures w14:val="standardContextual"/>
        </w:rPr>
      </w:pPr>
      <w:r w:rsidRPr="004F1109">
        <w:rPr>
          <w:rFonts w:ascii="Arial" w:eastAsiaTheme="minorHAnsi" w:hAnsi="Arial" w:cs="Arial"/>
          <w:b/>
          <w:bCs/>
          <w:kern w:val="2"/>
          <w:u w:val="single"/>
          <w:lang w:eastAsia="en-US"/>
          <w14:ligatures w14:val="standardContextual"/>
        </w:rPr>
        <w:t>Art.4.</w:t>
      </w:r>
      <w:r w:rsidRPr="004F1109">
        <w:rPr>
          <w:rFonts w:ascii="Arial" w:eastAsiaTheme="minorHAnsi" w:hAnsi="Arial" w:cs="Arial"/>
          <w:kern w:val="2"/>
          <w:lang w:eastAsia="en-US"/>
          <w14:ligatures w14:val="standardContextual"/>
        </w:rPr>
        <w:t xml:space="preserve"> - Prezenta hotărâre se poate contesta de cei interesați la instanța competentă, în termenul prevăzut de lege.</w:t>
      </w:r>
    </w:p>
    <w:p w14:paraId="07C85EE8" w14:textId="77777777" w:rsidR="004F1109" w:rsidRPr="004F1109" w:rsidRDefault="004F1109" w:rsidP="004F1109">
      <w:pPr>
        <w:suppressAutoHyphens w:val="0"/>
        <w:spacing w:line="240" w:lineRule="auto"/>
        <w:ind w:firstLine="708"/>
        <w:jc w:val="both"/>
        <w:rPr>
          <w:rFonts w:ascii="Arial" w:eastAsiaTheme="minorHAnsi" w:hAnsi="Arial" w:cs="Arial"/>
          <w:bCs/>
          <w:kern w:val="2"/>
          <w:lang w:eastAsia="ro-RO"/>
          <w14:ligatures w14:val="standardContextual"/>
        </w:rPr>
      </w:pPr>
    </w:p>
    <w:p w14:paraId="2CEDB0B7" w14:textId="77777777" w:rsidR="004F1109" w:rsidRPr="004F1109" w:rsidRDefault="004F1109" w:rsidP="004F1109">
      <w:pPr>
        <w:suppressAutoHyphens w:val="0"/>
        <w:spacing w:line="240" w:lineRule="auto"/>
        <w:ind w:firstLine="708"/>
        <w:jc w:val="both"/>
        <w:rPr>
          <w:rFonts w:ascii="Arial" w:eastAsiaTheme="minorHAnsi" w:hAnsi="Arial" w:cs="Arial"/>
          <w:kern w:val="2"/>
          <w:lang w:eastAsia="en-US"/>
          <w14:ligatures w14:val="standardContextual"/>
        </w:rPr>
      </w:pPr>
      <w:r w:rsidRPr="004F1109">
        <w:rPr>
          <w:rFonts w:ascii="Arial" w:eastAsiaTheme="minorHAnsi" w:hAnsi="Arial" w:cs="Arial"/>
          <w:b/>
          <w:kern w:val="2"/>
          <w:u w:val="single"/>
          <w:lang w:eastAsia="ro-RO"/>
          <w14:ligatures w14:val="standardContextual"/>
        </w:rPr>
        <w:t>Art.5.</w:t>
      </w:r>
      <w:r w:rsidRPr="004F1109">
        <w:rPr>
          <w:rFonts w:ascii="Arial" w:eastAsiaTheme="minorHAnsi" w:hAnsi="Arial" w:cs="Arial"/>
          <w:kern w:val="2"/>
          <w:lang w:eastAsia="ro-RO"/>
          <w14:ligatures w14:val="standardContextual"/>
        </w:rPr>
        <w:t xml:space="preserve"> - Hotărârea se comunică Prefectului județului Hunedoara, Primarului, </w:t>
      </w:r>
      <w:r w:rsidRPr="004F1109">
        <w:rPr>
          <w:rFonts w:ascii="Arial" w:eastAsiaTheme="minorHAnsi" w:hAnsi="Arial" w:cs="Arial"/>
          <w:kern w:val="2"/>
          <w:lang w:eastAsia="en-US"/>
          <w14:ligatures w14:val="standardContextual"/>
        </w:rPr>
        <w:t xml:space="preserve">Direcției economice, Serviciului juridic, administrație publică locală și Autoritate tutelară, </w:t>
      </w:r>
      <w:r w:rsidRPr="004F1109">
        <w:rPr>
          <w:rFonts w:ascii="Arial" w:eastAsiaTheme="minorHAnsi" w:hAnsi="Arial" w:cs="Arial"/>
          <w:kern w:val="2"/>
          <w:lang w:eastAsia="ro-RO"/>
          <w14:ligatures w14:val="standardContextual"/>
        </w:rPr>
        <w:t xml:space="preserve">Direcției </w:t>
      </w:r>
      <w:r w:rsidRPr="004F1109">
        <w:rPr>
          <w:rFonts w:ascii="Arial" w:eastAsiaTheme="minorHAnsi" w:hAnsi="Arial" w:cs="Arial"/>
          <w:bCs/>
          <w:kern w:val="2"/>
          <w:lang w:eastAsia="en-US"/>
          <w14:ligatures w14:val="standardContextual"/>
        </w:rPr>
        <w:t xml:space="preserve">Proiecte cu Finanțare Europeană, Serviciului Achiziții Publice, </w:t>
      </w:r>
      <w:r w:rsidRPr="004F1109">
        <w:rPr>
          <w:rFonts w:ascii="Arial" w:eastAsiaTheme="minorHAnsi" w:hAnsi="Arial" w:cs="Arial"/>
          <w:kern w:val="2"/>
          <w:lang w:eastAsia="en-US"/>
          <w14:ligatures w14:val="standardContextual"/>
        </w:rPr>
        <w:t xml:space="preserve">Compartimentul Audit Intern, </w:t>
      </w:r>
      <w:r w:rsidRPr="004F1109">
        <w:rPr>
          <w:rFonts w:ascii="Arial" w:eastAsiaTheme="minorHAnsi" w:hAnsi="Arial" w:cs="Arial"/>
          <w:color w:val="000000"/>
          <w:kern w:val="2"/>
          <w:lang w:eastAsia="en-US"/>
          <w14:ligatures w14:val="standardContextual"/>
        </w:rPr>
        <w:t xml:space="preserve">Serviciului Informatică, tehnică de calcul, încasări, </w:t>
      </w:r>
      <w:r w:rsidRPr="004F1109">
        <w:rPr>
          <w:rFonts w:ascii="Arial" w:eastAsiaTheme="minorHAnsi" w:hAnsi="Arial" w:cs="Arial"/>
          <w:kern w:val="2"/>
          <w:lang w:eastAsia="en-US"/>
          <w14:ligatures w14:val="standardContextual"/>
        </w:rPr>
        <w:t xml:space="preserve">Serviciului Relații cu Investitorii, Comunicare, promovare, </w:t>
      </w:r>
      <w:r w:rsidRPr="004F1109">
        <w:rPr>
          <w:rFonts w:ascii="Arial" w:eastAsiaTheme="minorHAnsi" w:hAnsi="Arial" w:cs="Arial"/>
          <w:color w:val="000000"/>
          <w:kern w:val="2"/>
          <w:lang w:eastAsia="en-US"/>
          <w14:ligatures w14:val="standardContextual"/>
        </w:rPr>
        <w:t xml:space="preserve">Serviciului Informații pentru Cetățeni și Relații Publice, Monitorul Oficial Local, relația cu mediul asociativ </w:t>
      </w:r>
      <w:r w:rsidRPr="004F1109">
        <w:rPr>
          <w:rFonts w:ascii="Arial" w:eastAsiaTheme="minorHAnsi" w:hAnsi="Arial" w:cs="Arial"/>
          <w:kern w:val="2"/>
          <w:lang w:eastAsia="en-US"/>
          <w14:ligatures w14:val="standardContextual"/>
        </w:rPr>
        <w:t>și se aduce la cunoștință publică prin publicarea pe pagina de internet www.primariahunedoara.ro</w:t>
      </w:r>
    </w:p>
    <w:p w14:paraId="35A12C6E" w14:textId="77777777" w:rsidR="004F1109" w:rsidRPr="004F1109" w:rsidRDefault="004F1109" w:rsidP="004F1109">
      <w:pPr>
        <w:suppressAutoHyphens w:val="0"/>
        <w:autoSpaceDE w:val="0"/>
        <w:autoSpaceDN w:val="0"/>
        <w:adjustRightInd w:val="0"/>
        <w:spacing w:line="240" w:lineRule="auto"/>
        <w:rPr>
          <w:rFonts w:ascii="Arial" w:eastAsiaTheme="minorHAnsi" w:hAnsi="Arial" w:cs="Arial"/>
          <w:bCs/>
          <w:kern w:val="2"/>
          <w:lang w:eastAsia="ro-RO"/>
          <w14:ligatures w14:val="standardContextual"/>
        </w:rPr>
      </w:pPr>
    </w:p>
    <w:p w14:paraId="03324A89" w14:textId="77777777" w:rsidR="004F1109" w:rsidRPr="004F1109" w:rsidRDefault="004F1109" w:rsidP="004F1109">
      <w:pPr>
        <w:suppressAutoHyphens w:val="0"/>
        <w:autoSpaceDE w:val="0"/>
        <w:autoSpaceDN w:val="0"/>
        <w:adjustRightInd w:val="0"/>
        <w:spacing w:line="240" w:lineRule="auto"/>
        <w:rPr>
          <w:rFonts w:ascii="Arial" w:eastAsiaTheme="minorHAnsi" w:hAnsi="Arial" w:cs="Arial"/>
          <w:bCs/>
          <w:kern w:val="2"/>
          <w:lang w:eastAsia="ro-RO"/>
          <w14:ligatures w14:val="standardContextual"/>
        </w:rPr>
      </w:pPr>
    </w:p>
    <w:p w14:paraId="3B6223B1"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INIȚIATOR</w:t>
      </w:r>
    </w:p>
    <w:p w14:paraId="3F000070"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PRIMAR,</w:t>
      </w:r>
    </w:p>
    <w:p w14:paraId="7E1DAFEF"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DAN BOBOUȚANU</w:t>
      </w:r>
    </w:p>
    <w:p w14:paraId="53F36F91"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p>
    <w:p w14:paraId="3D0BDE60"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p>
    <w:p w14:paraId="0B5ED468" w14:textId="77777777" w:rsidR="004F1109" w:rsidRPr="004F1109" w:rsidRDefault="004F1109" w:rsidP="004F1109">
      <w:pPr>
        <w:suppressAutoHyphens w:val="0"/>
        <w:spacing w:line="240" w:lineRule="auto"/>
        <w:jc w:val="center"/>
        <w:rPr>
          <w:rFonts w:ascii="Arial" w:eastAsiaTheme="minorHAnsi" w:hAnsi="Arial" w:cs="Arial"/>
          <w:b/>
          <w:kern w:val="2"/>
          <w:lang w:eastAsia="en-US"/>
          <w14:ligatures w14:val="standardContextual"/>
        </w:rPr>
      </w:pPr>
    </w:p>
    <w:p w14:paraId="500750DA" w14:textId="77777777" w:rsidR="004F1109" w:rsidRPr="004F1109" w:rsidRDefault="004F1109" w:rsidP="004F1109">
      <w:pPr>
        <w:suppressAutoHyphens w:val="0"/>
        <w:spacing w:line="240" w:lineRule="auto"/>
        <w:ind w:left="5040" w:firstLine="720"/>
        <w:jc w:val="both"/>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 xml:space="preserve">    </w:t>
      </w:r>
      <w:r w:rsidRPr="004F1109">
        <w:rPr>
          <w:rFonts w:ascii="Arial" w:eastAsiaTheme="minorHAnsi" w:hAnsi="Arial" w:cs="Arial"/>
          <w:b/>
          <w:kern w:val="2"/>
          <w:lang w:eastAsia="en-US"/>
          <w14:ligatures w14:val="standardContextual"/>
        </w:rPr>
        <w:tab/>
      </w:r>
      <w:r w:rsidRPr="004F1109">
        <w:rPr>
          <w:rFonts w:ascii="Arial" w:eastAsiaTheme="minorHAnsi" w:hAnsi="Arial" w:cs="Arial"/>
          <w:b/>
          <w:kern w:val="2"/>
          <w:lang w:eastAsia="en-US"/>
          <w14:ligatures w14:val="standardContextual"/>
        </w:rPr>
        <w:tab/>
        <w:t>AVIZAT</w:t>
      </w:r>
    </w:p>
    <w:p w14:paraId="43B5A871" w14:textId="77777777" w:rsidR="004F1109" w:rsidRPr="004F1109" w:rsidRDefault="004F1109" w:rsidP="004F1109">
      <w:pPr>
        <w:suppressAutoHyphens w:val="0"/>
        <w:spacing w:line="240" w:lineRule="auto"/>
        <w:ind w:left="5040" w:firstLine="720"/>
        <w:jc w:val="both"/>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 xml:space="preserve"> </w:t>
      </w:r>
      <w:r w:rsidRPr="004F1109">
        <w:rPr>
          <w:rFonts w:ascii="Arial" w:eastAsiaTheme="minorHAnsi" w:hAnsi="Arial" w:cs="Arial"/>
          <w:b/>
          <w:kern w:val="2"/>
          <w:lang w:eastAsia="en-US"/>
          <w14:ligatures w14:val="standardContextual"/>
        </w:rPr>
        <w:tab/>
        <w:t>SECRETAR GENERAL,</w:t>
      </w:r>
    </w:p>
    <w:p w14:paraId="2B0BCA73" w14:textId="77777777" w:rsidR="004F1109" w:rsidRPr="004F1109" w:rsidRDefault="004F1109" w:rsidP="004F1109">
      <w:pPr>
        <w:suppressAutoHyphens w:val="0"/>
        <w:spacing w:line="240" w:lineRule="auto"/>
        <w:ind w:left="5760" w:firstLine="720"/>
        <w:jc w:val="both"/>
        <w:rPr>
          <w:rFonts w:ascii="Arial" w:eastAsiaTheme="minorHAnsi" w:hAnsi="Arial" w:cs="Arial"/>
          <w:b/>
          <w:kern w:val="2"/>
          <w:lang w:eastAsia="en-US"/>
          <w14:ligatures w14:val="standardContextual"/>
        </w:rPr>
      </w:pPr>
      <w:r w:rsidRPr="004F1109">
        <w:rPr>
          <w:rFonts w:ascii="Arial" w:eastAsiaTheme="minorHAnsi" w:hAnsi="Arial" w:cs="Arial"/>
          <w:b/>
          <w:kern w:val="2"/>
          <w:lang w:eastAsia="en-US"/>
          <w14:ligatures w14:val="standardContextual"/>
        </w:rPr>
        <w:t xml:space="preserve"> Dănuț Militon Laslău</w:t>
      </w:r>
    </w:p>
    <w:p w14:paraId="7E62579E" w14:textId="77777777" w:rsidR="004F1109" w:rsidRPr="004F1109" w:rsidRDefault="004F1109" w:rsidP="004F110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1DC8514B" w14:textId="77777777" w:rsidR="004F1109" w:rsidRPr="004F1109" w:rsidRDefault="004F1109" w:rsidP="004F110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28E37EB1" w14:textId="77777777" w:rsidR="004F1109" w:rsidRPr="004F1109" w:rsidRDefault="004F1109" w:rsidP="004F110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3A801AFA" w14:textId="77777777" w:rsidR="004F1109" w:rsidRPr="004F1109" w:rsidRDefault="004F1109" w:rsidP="004F1109">
      <w:pPr>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77AAE6DA" w14:textId="4F16997D" w:rsidR="000355A4" w:rsidRPr="004F1109" w:rsidRDefault="000355A4" w:rsidP="004F1109"/>
    <w:sectPr w:rsidR="000355A4" w:rsidRPr="004F1109" w:rsidSect="0003066D">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Arial-BoldMT">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4"/>
  </w:num>
  <w:num w:numId="4" w16cid:durableId="1799377724">
    <w:abstractNumId w:val="3"/>
  </w:num>
  <w:num w:numId="5" w16cid:durableId="13393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066D"/>
    <w:rsid w:val="000355A4"/>
    <w:rsid w:val="000F06A9"/>
    <w:rsid w:val="00185F8F"/>
    <w:rsid w:val="00303DA9"/>
    <w:rsid w:val="00314172"/>
    <w:rsid w:val="004D0465"/>
    <w:rsid w:val="004F1109"/>
    <w:rsid w:val="00520C48"/>
    <w:rsid w:val="005A2CAB"/>
    <w:rsid w:val="006C15F0"/>
    <w:rsid w:val="006D1267"/>
    <w:rsid w:val="006E0806"/>
    <w:rsid w:val="006E7FCA"/>
    <w:rsid w:val="007041C9"/>
    <w:rsid w:val="00754786"/>
    <w:rsid w:val="007711A9"/>
    <w:rsid w:val="0077460D"/>
    <w:rsid w:val="00821DD1"/>
    <w:rsid w:val="00855E89"/>
    <w:rsid w:val="0087231B"/>
    <w:rsid w:val="008D77B9"/>
    <w:rsid w:val="008E7D2E"/>
    <w:rsid w:val="00A06D35"/>
    <w:rsid w:val="00AB5851"/>
    <w:rsid w:val="00B07684"/>
    <w:rsid w:val="00B37CCA"/>
    <w:rsid w:val="00B54A02"/>
    <w:rsid w:val="00B629B0"/>
    <w:rsid w:val="00BF18F4"/>
    <w:rsid w:val="00BF2EC2"/>
    <w:rsid w:val="00D10B59"/>
    <w:rsid w:val="00EB7425"/>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 w:type="character" w:customStyle="1" w:styleId="Fontdeparagrafimplicit1">
    <w:name w:val="Font de paragraf implicit1"/>
    <w:rsid w:val="006E7FCA"/>
  </w:style>
  <w:style w:type="character" w:customStyle="1" w:styleId="WW8Num4z0">
    <w:name w:val="WW8Num4z0"/>
    <w:rsid w:val="006E7FCA"/>
    <w:rPr>
      <w:rFonts w:ascii="Arial" w:eastAsia="Times New Roman" w:hAnsi="Arial" w:cs="Arial"/>
      <w:b w:val="0"/>
      <w:color w:val="00000A"/>
      <w:kern w:val="1"/>
      <w:sz w:val="24"/>
      <w:szCs w:val="24"/>
      <w:lang w:val="ro-RO"/>
    </w:rPr>
  </w:style>
  <w:style w:type="character" w:customStyle="1" w:styleId="l5def2">
    <w:name w:val="l5def2"/>
    <w:rsid w:val="006E7FC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33</cp:revision>
  <dcterms:created xsi:type="dcterms:W3CDTF">2022-11-29T12:30:00Z</dcterms:created>
  <dcterms:modified xsi:type="dcterms:W3CDTF">2024-02-20T11:28:00Z</dcterms:modified>
</cp:coreProperties>
</file>