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84B0C" w14:textId="77777777" w:rsidR="00D11E82" w:rsidRPr="00D11E82" w:rsidRDefault="00D11E82" w:rsidP="00D11E82">
      <w:pPr>
        <w:widowControl w:val="0"/>
        <w:spacing w:after="120"/>
        <w:rPr>
          <w:rFonts w:ascii="Times New Roman" w:eastAsia="SimSun" w:hAnsi="Times New Roman"/>
          <w:kern w:val="1"/>
          <w:lang w:eastAsia="hi-IN" w:bidi="hi-IN"/>
        </w:rPr>
      </w:pPr>
    </w:p>
    <w:p w14:paraId="2D425F02" w14:textId="77777777" w:rsidR="006D7BE6" w:rsidRPr="006D7BE6" w:rsidRDefault="006D7BE6" w:rsidP="006D7BE6">
      <w:pPr>
        <w:spacing w:line="100" w:lineRule="atLeast"/>
        <w:jc w:val="both"/>
        <w:rPr>
          <w:rFonts w:eastAsia="Arial"/>
          <w:b/>
          <w:color w:val="000000"/>
          <w:kern w:val="1"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60"/>
        <w:gridCol w:w="3853"/>
        <w:gridCol w:w="2776"/>
      </w:tblGrid>
      <w:tr w:rsidR="00817597" w:rsidRPr="00817597" w14:paraId="1A3E58AA" w14:textId="77777777" w:rsidTr="006C0C0F">
        <w:tc>
          <w:tcPr>
            <w:tcW w:w="3260" w:type="dxa"/>
            <w:shd w:val="clear" w:color="auto" w:fill="FFFFFF"/>
          </w:tcPr>
          <w:p w14:paraId="61E72894" w14:textId="77777777" w:rsidR="00817597" w:rsidRPr="00817597" w:rsidRDefault="00817597" w:rsidP="00817597">
            <w:pPr>
              <w:rPr>
                <w:b/>
              </w:rPr>
            </w:pPr>
            <w:r w:rsidRPr="00817597">
              <w:rPr>
                <w:b/>
              </w:rPr>
              <w:t>ROMÂNIA</w:t>
            </w:r>
          </w:p>
          <w:p w14:paraId="7C0C9290" w14:textId="77777777" w:rsidR="00817597" w:rsidRPr="00817597" w:rsidRDefault="00817597" w:rsidP="00817597">
            <w:pPr>
              <w:rPr>
                <w:b/>
              </w:rPr>
            </w:pPr>
            <w:r w:rsidRPr="00817597">
              <w:rPr>
                <w:b/>
              </w:rPr>
              <w:t>JUDEŢUL HUNEDOARA</w:t>
            </w:r>
          </w:p>
          <w:p w14:paraId="095F89EA" w14:textId="77777777" w:rsidR="00817597" w:rsidRPr="00817597" w:rsidRDefault="00817597" w:rsidP="00817597">
            <w:pPr>
              <w:rPr>
                <w:b/>
              </w:rPr>
            </w:pPr>
            <w:r w:rsidRPr="00817597">
              <w:rPr>
                <w:b/>
              </w:rPr>
              <w:t>MUNICIPIUL HUNEDOARA</w:t>
            </w:r>
          </w:p>
          <w:p w14:paraId="313A8331" w14:textId="77777777" w:rsidR="00817597" w:rsidRPr="00817597" w:rsidRDefault="00817597" w:rsidP="0081759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7597">
              <w:rPr>
                <w:b/>
              </w:rPr>
              <w:t>CONSILIUL  LOCAL</w:t>
            </w:r>
          </w:p>
        </w:tc>
        <w:tc>
          <w:tcPr>
            <w:tcW w:w="3853" w:type="dxa"/>
            <w:shd w:val="clear" w:color="auto" w:fill="FFFFFF"/>
          </w:tcPr>
          <w:p w14:paraId="2CC7B695" w14:textId="6AB2546D" w:rsidR="00817597" w:rsidRPr="00817597" w:rsidRDefault="00817597" w:rsidP="00817597">
            <w:pPr>
              <w:jc w:val="center"/>
              <w:rPr>
                <w:b/>
              </w:rPr>
            </w:pPr>
            <w:r w:rsidRPr="00817597">
              <w:rPr>
                <w:noProof/>
              </w:rPr>
              <w:drawing>
                <wp:inline distT="0" distB="0" distL="0" distR="0" wp14:anchorId="1031CF37" wp14:editId="6196A12E">
                  <wp:extent cx="447675" cy="571500"/>
                  <wp:effectExtent l="0" t="0" r="9525" b="0"/>
                  <wp:docPr id="2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6" w:type="dxa"/>
            <w:shd w:val="clear" w:color="auto" w:fill="FFFFFF"/>
          </w:tcPr>
          <w:p w14:paraId="04B44C6C" w14:textId="77777777" w:rsidR="00817597" w:rsidRPr="00817597" w:rsidRDefault="00817597" w:rsidP="00817597">
            <w:pPr>
              <w:snapToGrid w:val="0"/>
              <w:rPr>
                <w:b/>
              </w:rPr>
            </w:pPr>
          </w:p>
          <w:p w14:paraId="13E479FE" w14:textId="77777777" w:rsidR="00817597" w:rsidRPr="00817597" w:rsidRDefault="00817597" w:rsidP="00817597">
            <w:pPr>
              <w:jc w:val="center"/>
              <w:rPr>
                <w:b/>
              </w:rPr>
            </w:pPr>
            <w:r w:rsidRPr="00817597">
              <w:rPr>
                <w:b/>
              </w:rPr>
              <w:t>Proiect de Hotărâre</w:t>
            </w:r>
          </w:p>
          <w:p w14:paraId="3F28C5F0" w14:textId="77777777" w:rsidR="00817597" w:rsidRPr="00817597" w:rsidRDefault="00817597" w:rsidP="008175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7597">
              <w:rPr>
                <w:b/>
              </w:rPr>
              <w:t>Nr.503/03.11.2022</w:t>
            </w:r>
          </w:p>
        </w:tc>
      </w:tr>
    </w:tbl>
    <w:p w14:paraId="64DC2861" w14:textId="77777777" w:rsidR="00817597" w:rsidRPr="00817597" w:rsidRDefault="00817597" w:rsidP="00817597">
      <w:pPr>
        <w:widowControl w:val="0"/>
        <w:jc w:val="both"/>
        <w:textAlignment w:val="baseline"/>
        <w:rPr>
          <w:rFonts w:eastAsia="SimSun"/>
          <w:kern w:val="1"/>
          <w:sz w:val="22"/>
          <w:szCs w:val="22"/>
          <w:lang w:eastAsia="hi-IN" w:bidi="hi-IN"/>
        </w:rPr>
      </w:pPr>
    </w:p>
    <w:p w14:paraId="6D05FB09" w14:textId="77777777" w:rsidR="00817597" w:rsidRPr="00817597" w:rsidRDefault="00817597" w:rsidP="00817597">
      <w:pPr>
        <w:widowControl w:val="0"/>
        <w:jc w:val="both"/>
        <w:textAlignment w:val="baseline"/>
        <w:rPr>
          <w:rFonts w:eastAsia="SimSun"/>
          <w:kern w:val="1"/>
          <w:sz w:val="22"/>
          <w:szCs w:val="22"/>
          <w:lang w:eastAsia="hi-IN" w:bidi="hi-IN"/>
        </w:rPr>
      </w:pPr>
    </w:p>
    <w:p w14:paraId="197C7465" w14:textId="77777777" w:rsidR="00817597" w:rsidRPr="00817597" w:rsidRDefault="00817597" w:rsidP="00817597">
      <w:pPr>
        <w:keepNext/>
        <w:jc w:val="center"/>
        <w:rPr>
          <w:b/>
          <w:bCs/>
          <w:iCs/>
        </w:rPr>
      </w:pPr>
      <w:r w:rsidRPr="00817597">
        <w:rPr>
          <w:b/>
          <w:bCs/>
          <w:kern w:val="1"/>
          <w:u w:val="single"/>
        </w:rPr>
        <w:t>HOTĂRÂREA   NR. ____/2022</w:t>
      </w:r>
    </w:p>
    <w:p w14:paraId="5689FE5D" w14:textId="77777777" w:rsidR="00817597" w:rsidRPr="00817597" w:rsidRDefault="00817597" w:rsidP="00817597">
      <w:pPr>
        <w:jc w:val="center"/>
        <w:rPr>
          <w:b/>
          <w:bCs/>
        </w:rPr>
      </w:pPr>
      <w:r w:rsidRPr="00817597">
        <w:rPr>
          <w:b/>
          <w:bCs/>
          <w:iCs/>
        </w:rPr>
        <w:t>privind aprobarea Strategiei Integrate de Dezvoltare Urbană a Municipiului Hunedoara pentru perioada 2021</w:t>
      </w:r>
      <w:r w:rsidRPr="00817597">
        <w:rPr>
          <w:b/>
          <w:bCs/>
          <w:iCs/>
          <w:color w:val="FF0000"/>
        </w:rPr>
        <w:t xml:space="preserve"> </w:t>
      </w:r>
      <w:r w:rsidRPr="00817597">
        <w:rPr>
          <w:b/>
          <w:bCs/>
          <w:iCs/>
        </w:rPr>
        <w:t>- 2030</w:t>
      </w:r>
    </w:p>
    <w:p w14:paraId="06F00E0E" w14:textId="77777777" w:rsidR="00817597" w:rsidRPr="00817597" w:rsidRDefault="00817597" w:rsidP="00817597">
      <w:pPr>
        <w:jc w:val="center"/>
        <w:rPr>
          <w:b/>
          <w:bCs/>
        </w:rPr>
      </w:pPr>
    </w:p>
    <w:p w14:paraId="4257E183" w14:textId="77777777" w:rsidR="00817597" w:rsidRPr="00817597" w:rsidRDefault="00817597" w:rsidP="00817597">
      <w:pPr>
        <w:jc w:val="center"/>
        <w:rPr>
          <w:b/>
          <w:bCs/>
        </w:rPr>
      </w:pPr>
    </w:p>
    <w:p w14:paraId="407341CC" w14:textId="77777777" w:rsidR="00817597" w:rsidRPr="00817597" w:rsidRDefault="00817597" w:rsidP="00817597">
      <w:pPr>
        <w:suppressAutoHyphens w:val="0"/>
        <w:autoSpaceDE w:val="0"/>
        <w:ind w:firstLine="720"/>
        <w:jc w:val="both"/>
      </w:pPr>
      <w:r w:rsidRPr="00817597">
        <w:t>Consiliul Local al Municipiului Hunedoara;</w:t>
      </w:r>
    </w:p>
    <w:p w14:paraId="20AFF578" w14:textId="77777777" w:rsidR="00817597" w:rsidRPr="00817597" w:rsidRDefault="00817597" w:rsidP="00817597">
      <w:pPr>
        <w:suppressAutoHyphens w:val="0"/>
        <w:autoSpaceDE w:val="0"/>
        <w:jc w:val="both"/>
      </w:pPr>
      <w:r w:rsidRPr="00817597">
        <w:tab/>
        <w:t xml:space="preserve">Având în vedere </w:t>
      </w:r>
      <w:r w:rsidRPr="00817597">
        <w:rPr>
          <w:rFonts w:eastAsia="SimSun"/>
          <w:kern w:val="1"/>
          <w:lang w:eastAsia="hi-IN" w:bidi="hi-IN"/>
        </w:rPr>
        <w:t>Referatul de aprobare nr. 94063/03.11.2022</w:t>
      </w:r>
      <w:r w:rsidRPr="00817597">
        <w:rPr>
          <w:b/>
        </w:rPr>
        <w:t xml:space="preserve"> </w:t>
      </w:r>
      <w:r w:rsidRPr="00817597">
        <w:rPr>
          <w:rFonts w:eastAsia="SimSun"/>
          <w:kern w:val="1"/>
          <w:lang w:eastAsia="hi-IN" w:bidi="hi-IN"/>
        </w:rPr>
        <w:t xml:space="preserve">al Primarului municipiului Hunedoara </w:t>
      </w:r>
      <w:r w:rsidRPr="00817597">
        <w:rPr>
          <w:bCs/>
        </w:rPr>
        <w:t xml:space="preserve">pentru </w:t>
      </w:r>
      <w:r w:rsidRPr="00817597">
        <w:rPr>
          <w:bCs/>
          <w:iCs/>
        </w:rPr>
        <w:t>aprobarea Strategiei Integrate de Dezvoltare Urbană a Municipiului Hunedoara pentru perioada 2021 - 2030;</w:t>
      </w:r>
    </w:p>
    <w:p w14:paraId="1968C594" w14:textId="77777777" w:rsidR="00817597" w:rsidRPr="00817597" w:rsidRDefault="00817597" w:rsidP="00817597">
      <w:pPr>
        <w:ind w:firstLine="709"/>
        <w:jc w:val="both"/>
      </w:pPr>
      <w:r w:rsidRPr="00817597">
        <w:t xml:space="preserve">În temeiul prevederilor Cap. II, art.7, alin.(1) din Regulamentul 1301/2013 privind Fondul European de Dezvoltare Regională, ale Legii nr. 315/2004 privind dezvoltarea regională în România, cu modificările </w:t>
      </w:r>
      <w:proofErr w:type="spellStart"/>
      <w:r w:rsidRPr="00817597">
        <w:t>şi</w:t>
      </w:r>
      <w:proofErr w:type="spellEnd"/>
      <w:r w:rsidRPr="00817597">
        <w:t xml:space="preserve"> completările ulterioare, precum și ale  </w:t>
      </w:r>
      <w:r w:rsidRPr="00817597">
        <w:rPr>
          <w:bCs/>
        </w:rPr>
        <w:t>art.4 lit. b) și art. 7 din</w:t>
      </w:r>
      <w:r w:rsidRPr="00817597">
        <w:t xml:space="preserve"> Legea nr. 52/2003 privind </w:t>
      </w:r>
      <w:proofErr w:type="spellStart"/>
      <w:r w:rsidRPr="00817597">
        <w:t>transparenţa</w:t>
      </w:r>
      <w:proofErr w:type="spellEnd"/>
      <w:r w:rsidRPr="00817597">
        <w:t xml:space="preserve"> decizională în </w:t>
      </w:r>
      <w:proofErr w:type="spellStart"/>
      <w:r w:rsidRPr="00817597">
        <w:t>administraţia</w:t>
      </w:r>
      <w:proofErr w:type="spellEnd"/>
      <w:r w:rsidRPr="00817597">
        <w:t xml:space="preserve"> publică, republicată, cu modificările și completările ulterioare ;</w:t>
      </w:r>
    </w:p>
    <w:p w14:paraId="63706F18" w14:textId="77777777" w:rsidR="00817597" w:rsidRPr="00817597" w:rsidRDefault="00817597" w:rsidP="00817597">
      <w:pPr>
        <w:ind w:firstLine="720"/>
        <w:jc w:val="both"/>
        <w:rPr>
          <w:b/>
          <w:bCs/>
          <w:u w:val="single"/>
        </w:rPr>
      </w:pPr>
      <w:r w:rsidRPr="00817597">
        <w:t xml:space="preserve">În temeiul </w:t>
      </w:r>
      <w:proofErr w:type="spellStart"/>
      <w:r w:rsidRPr="00817597">
        <w:t>dispoziţiilor</w:t>
      </w:r>
      <w:proofErr w:type="spellEnd"/>
      <w:r w:rsidRPr="00817597">
        <w:t xml:space="preserve"> art. 129, alin. (2), lit. b), alin. (4), lit. e), alin.(14), precum și art.139, coroborat cu art. 196 alin. (1) lit. a) din Ordonanța de Urgență nr.57/2019 privind Codul Administrativ, cu modificările și completările ulterioare;</w:t>
      </w:r>
    </w:p>
    <w:p w14:paraId="6B62CBA0" w14:textId="77777777" w:rsidR="00817597" w:rsidRPr="00817597" w:rsidRDefault="00817597" w:rsidP="00817597">
      <w:pPr>
        <w:suppressAutoHyphens w:val="0"/>
        <w:autoSpaceDE w:val="0"/>
        <w:jc w:val="center"/>
        <w:rPr>
          <w:b/>
          <w:bCs/>
          <w:u w:val="single"/>
        </w:rPr>
      </w:pPr>
    </w:p>
    <w:p w14:paraId="482AA625" w14:textId="77777777" w:rsidR="00817597" w:rsidRPr="00817597" w:rsidRDefault="00817597" w:rsidP="00817597">
      <w:pPr>
        <w:suppressAutoHyphens w:val="0"/>
        <w:autoSpaceDE w:val="0"/>
        <w:jc w:val="center"/>
        <w:rPr>
          <w:bCs/>
        </w:rPr>
      </w:pPr>
      <w:r w:rsidRPr="00817597">
        <w:rPr>
          <w:b/>
          <w:bCs/>
          <w:u w:val="single"/>
        </w:rPr>
        <w:t>H O T Ă R Ă Ş T E:</w:t>
      </w:r>
    </w:p>
    <w:p w14:paraId="2734BE5F" w14:textId="77777777" w:rsidR="00817597" w:rsidRPr="00817597" w:rsidRDefault="00817597" w:rsidP="00817597">
      <w:pPr>
        <w:suppressAutoHyphens w:val="0"/>
        <w:autoSpaceDE w:val="0"/>
        <w:jc w:val="both"/>
        <w:rPr>
          <w:bCs/>
        </w:rPr>
      </w:pPr>
    </w:p>
    <w:p w14:paraId="2D780FB0" w14:textId="77777777" w:rsidR="00817597" w:rsidRPr="00817597" w:rsidRDefault="00817597" w:rsidP="00817597">
      <w:pPr>
        <w:ind w:firstLine="720"/>
        <w:jc w:val="both"/>
      </w:pPr>
      <w:r w:rsidRPr="00817597">
        <w:rPr>
          <w:b/>
          <w:bCs/>
          <w:u w:val="single"/>
        </w:rPr>
        <w:t>Art.1.</w:t>
      </w:r>
      <w:r w:rsidRPr="00817597">
        <w:rPr>
          <w:bCs/>
        </w:rPr>
        <w:t xml:space="preserve"> – Se a</w:t>
      </w:r>
      <w:r w:rsidRPr="00817597">
        <w:t xml:space="preserve">probă </w:t>
      </w:r>
      <w:r w:rsidRPr="00817597">
        <w:rPr>
          <w:bCs/>
          <w:iCs/>
        </w:rPr>
        <w:t>Strategia Integrată de Dezvoltare Urbană a Municipiului Hunedoara pentru perioada 2021 - 2030</w:t>
      </w:r>
      <w:r w:rsidRPr="00817597">
        <w:rPr>
          <w:bCs/>
        </w:rPr>
        <w:t>, conform</w:t>
      </w:r>
      <w:r w:rsidRPr="00817597">
        <w:t xml:space="preserve"> Anexei , care face parte integrantă din prezenta hotărâre.</w:t>
      </w:r>
    </w:p>
    <w:p w14:paraId="71FEB038" w14:textId="77777777" w:rsidR="00817597" w:rsidRPr="00817597" w:rsidRDefault="00817597" w:rsidP="00817597">
      <w:pPr>
        <w:ind w:firstLine="720"/>
        <w:jc w:val="both"/>
      </w:pPr>
    </w:p>
    <w:p w14:paraId="52BB5A04" w14:textId="77777777" w:rsidR="00817597" w:rsidRPr="00817597" w:rsidRDefault="00817597" w:rsidP="00817597">
      <w:pPr>
        <w:suppressAutoHyphens w:val="0"/>
        <w:autoSpaceDE w:val="0"/>
        <w:ind w:firstLine="720"/>
        <w:jc w:val="both"/>
        <w:rPr>
          <w:b/>
        </w:rPr>
      </w:pPr>
      <w:r w:rsidRPr="00817597">
        <w:rPr>
          <w:b/>
          <w:u w:val="single"/>
        </w:rPr>
        <w:t>Art.2.</w:t>
      </w:r>
      <w:r w:rsidRPr="00817597">
        <w:t xml:space="preserve"> – Prezenta hotărâre se poate contesta de cei interesați la instanța competentă, în termenul prevăzut de lege.</w:t>
      </w:r>
    </w:p>
    <w:p w14:paraId="78792716" w14:textId="77777777" w:rsidR="00817597" w:rsidRPr="00817597" w:rsidRDefault="00817597" w:rsidP="00817597">
      <w:pPr>
        <w:jc w:val="both"/>
        <w:rPr>
          <w:b/>
        </w:rPr>
      </w:pPr>
    </w:p>
    <w:p w14:paraId="5ADD7CD0" w14:textId="77777777" w:rsidR="00817597" w:rsidRPr="00817597" w:rsidRDefault="00817597" w:rsidP="00817597">
      <w:pPr>
        <w:suppressAutoHyphens w:val="0"/>
        <w:autoSpaceDE w:val="0"/>
        <w:ind w:firstLine="720"/>
        <w:jc w:val="both"/>
        <w:rPr>
          <w:bCs/>
        </w:rPr>
      </w:pPr>
      <w:r w:rsidRPr="00817597">
        <w:rPr>
          <w:b/>
          <w:u w:val="single"/>
        </w:rPr>
        <w:t>Art.3.</w:t>
      </w:r>
      <w:r w:rsidRPr="00817597">
        <w:t xml:space="preserve"> – Hotărârea se comunică Prefectului </w:t>
      </w:r>
      <w:proofErr w:type="spellStart"/>
      <w:r w:rsidRPr="00817597">
        <w:t>judeţului</w:t>
      </w:r>
      <w:proofErr w:type="spellEnd"/>
      <w:r w:rsidRPr="00817597">
        <w:t xml:space="preserve"> Hunedoara, Primarului, Administratorului Public, </w:t>
      </w:r>
      <w:proofErr w:type="spellStart"/>
      <w:r w:rsidRPr="00817597">
        <w:t>Direcţiei</w:t>
      </w:r>
      <w:proofErr w:type="spellEnd"/>
      <w:r w:rsidRPr="00817597">
        <w:t xml:space="preserve"> Economice, Serviciul Investiții Monitorizarea Serviciilor Comunitare de Utilități Publice, Serviciului Juridic, </w:t>
      </w:r>
      <w:proofErr w:type="spellStart"/>
      <w:r w:rsidRPr="00817597">
        <w:t>Administraţie</w:t>
      </w:r>
      <w:proofErr w:type="spellEnd"/>
      <w:r w:rsidRPr="00817597">
        <w:t xml:space="preserve"> Publică Locală și Autoritate Tutelară, Direcției Amenajarea Teritoriului și Urbanism, Biroului Urbanism, Direcției Patrimoniu, Direcției Proiecte cu </w:t>
      </w:r>
      <w:proofErr w:type="spellStart"/>
      <w:r w:rsidRPr="00817597">
        <w:t>Finanţare</w:t>
      </w:r>
      <w:proofErr w:type="spellEnd"/>
      <w:r w:rsidRPr="00817597">
        <w:t xml:space="preserve"> Europeană, Serviciului </w:t>
      </w:r>
      <w:proofErr w:type="spellStart"/>
      <w:r w:rsidRPr="00817597">
        <w:t>Achiziţii</w:t>
      </w:r>
      <w:proofErr w:type="spellEnd"/>
      <w:r w:rsidRPr="00817597">
        <w:t xml:space="preserve"> Publice, Compartimentul Audit Intern, Biroului Informatică și tehnică de calcul, Biroului Comunicare Promovare imagine, Serviciului Informații pentru Cetățeni și Relații Publice, Monitorul Oficial Local și se va publica pe site-ul Primăriei municipiului Hunedoara </w:t>
      </w:r>
      <w:hyperlink r:id="rId6" w:history="1">
        <w:r w:rsidRPr="00817597">
          <w:rPr>
            <w:color w:val="0000FF"/>
            <w:u w:val="single"/>
          </w:rPr>
          <w:t>www.primariahunedoara.ro</w:t>
        </w:r>
      </w:hyperlink>
      <w:r w:rsidRPr="00817597">
        <w:t xml:space="preserve"> .</w:t>
      </w:r>
    </w:p>
    <w:p w14:paraId="7E0A2148" w14:textId="77777777" w:rsidR="00817597" w:rsidRPr="00817597" w:rsidRDefault="00817597" w:rsidP="00817597">
      <w:pPr>
        <w:suppressAutoHyphens w:val="0"/>
        <w:autoSpaceDE w:val="0"/>
        <w:jc w:val="both"/>
        <w:rPr>
          <w:bCs/>
        </w:rPr>
      </w:pPr>
    </w:p>
    <w:p w14:paraId="65ABD2AC" w14:textId="77777777" w:rsidR="00817597" w:rsidRPr="00817597" w:rsidRDefault="00817597" w:rsidP="00817597">
      <w:pPr>
        <w:jc w:val="center"/>
        <w:rPr>
          <w:b/>
          <w:bCs/>
        </w:rPr>
      </w:pPr>
      <w:r w:rsidRPr="00817597">
        <w:rPr>
          <w:b/>
        </w:rPr>
        <w:t>INIŢIATOR,</w:t>
      </w:r>
    </w:p>
    <w:p w14:paraId="0BBDF2B8" w14:textId="77777777" w:rsidR="00817597" w:rsidRPr="00817597" w:rsidRDefault="00817597" w:rsidP="00817597">
      <w:pPr>
        <w:jc w:val="center"/>
        <w:rPr>
          <w:b/>
          <w:bCs/>
        </w:rPr>
      </w:pPr>
      <w:r w:rsidRPr="00817597">
        <w:rPr>
          <w:b/>
          <w:bCs/>
        </w:rPr>
        <w:t>PRIMAR</w:t>
      </w:r>
    </w:p>
    <w:p w14:paraId="11153558" w14:textId="77777777" w:rsidR="00817597" w:rsidRPr="00817597" w:rsidRDefault="00817597" w:rsidP="00817597">
      <w:pPr>
        <w:jc w:val="center"/>
        <w:rPr>
          <w:b/>
          <w:bCs/>
        </w:rPr>
      </w:pPr>
      <w:r w:rsidRPr="00817597">
        <w:rPr>
          <w:b/>
          <w:bCs/>
        </w:rPr>
        <w:t>DAN BOBOUȚANU</w:t>
      </w:r>
    </w:p>
    <w:p w14:paraId="75AC22CB" w14:textId="77777777" w:rsidR="00817597" w:rsidRPr="00817597" w:rsidRDefault="00817597" w:rsidP="00817597">
      <w:pPr>
        <w:jc w:val="center"/>
        <w:rPr>
          <w:b/>
          <w:bCs/>
        </w:rPr>
      </w:pPr>
    </w:p>
    <w:p w14:paraId="67BFBDEE" w14:textId="77777777" w:rsidR="00817597" w:rsidRPr="00817597" w:rsidRDefault="00817597" w:rsidP="00817597">
      <w:pPr>
        <w:jc w:val="center"/>
        <w:rPr>
          <w:b/>
          <w:bCs/>
        </w:rPr>
      </w:pPr>
    </w:p>
    <w:p w14:paraId="41E63ACA" w14:textId="77777777" w:rsidR="00817597" w:rsidRPr="00817597" w:rsidRDefault="00817597" w:rsidP="00817597">
      <w:pPr>
        <w:jc w:val="center"/>
        <w:rPr>
          <w:b/>
          <w:bCs/>
        </w:rPr>
      </w:pPr>
    </w:p>
    <w:p w14:paraId="386A1D5E" w14:textId="77777777" w:rsidR="00817597" w:rsidRPr="00817597" w:rsidRDefault="00817597" w:rsidP="00817597">
      <w:pPr>
        <w:rPr>
          <w:b/>
        </w:rPr>
      </w:pPr>
      <w:r w:rsidRPr="00817597">
        <w:rPr>
          <w:b/>
          <w:bCs/>
        </w:rPr>
        <w:tab/>
      </w:r>
      <w:r w:rsidRPr="00817597">
        <w:rPr>
          <w:b/>
          <w:bCs/>
        </w:rPr>
        <w:tab/>
      </w:r>
      <w:r w:rsidRPr="00817597">
        <w:rPr>
          <w:b/>
          <w:bCs/>
        </w:rPr>
        <w:tab/>
      </w:r>
      <w:r w:rsidRPr="00817597">
        <w:rPr>
          <w:b/>
          <w:bCs/>
        </w:rPr>
        <w:tab/>
      </w:r>
      <w:r w:rsidRPr="00817597">
        <w:rPr>
          <w:b/>
          <w:bCs/>
        </w:rPr>
        <w:tab/>
      </w:r>
      <w:r w:rsidRPr="00817597">
        <w:rPr>
          <w:b/>
          <w:bCs/>
        </w:rPr>
        <w:tab/>
      </w:r>
      <w:r w:rsidRPr="00817597">
        <w:rPr>
          <w:b/>
          <w:bCs/>
        </w:rPr>
        <w:tab/>
        <w:t xml:space="preserve">                                               A</w:t>
      </w:r>
      <w:r w:rsidRPr="00817597">
        <w:rPr>
          <w:b/>
        </w:rPr>
        <w:t xml:space="preserve">VIZAT </w:t>
      </w:r>
    </w:p>
    <w:p w14:paraId="59F56BA6" w14:textId="77777777" w:rsidR="00817597" w:rsidRPr="00817597" w:rsidRDefault="00817597" w:rsidP="00817597">
      <w:pPr>
        <w:rPr>
          <w:b/>
        </w:rPr>
      </w:pPr>
      <w:r w:rsidRPr="00817597">
        <w:rPr>
          <w:b/>
        </w:rPr>
        <w:t xml:space="preserve">                                                                                                             SECRETAR GENERAL,</w:t>
      </w:r>
    </w:p>
    <w:p w14:paraId="372FAA9A" w14:textId="77777777" w:rsidR="00817597" w:rsidRPr="00817597" w:rsidRDefault="00817597" w:rsidP="00817597">
      <w:pPr>
        <w:rPr>
          <w:b/>
          <w:bCs/>
        </w:rPr>
      </w:pPr>
      <w:r w:rsidRPr="00817597">
        <w:rPr>
          <w:b/>
        </w:rPr>
        <w:tab/>
      </w:r>
      <w:r w:rsidRPr="00817597">
        <w:rPr>
          <w:b/>
          <w:bCs/>
        </w:rPr>
        <w:t xml:space="preserve">                              </w:t>
      </w:r>
      <w:r w:rsidRPr="00817597">
        <w:rPr>
          <w:b/>
          <w:bCs/>
        </w:rPr>
        <w:tab/>
      </w:r>
      <w:r w:rsidRPr="00817597">
        <w:rPr>
          <w:b/>
          <w:bCs/>
        </w:rPr>
        <w:tab/>
      </w:r>
      <w:r w:rsidRPr="00817597">
        <w:rPr>
          <w:b/>
          <w:bCs/>
        </w:rPr>
        <w:tab/>
      </w:r>
      <w:r w:rsidRPr="00817597">
        <w:rPr>
          <w:b/>
          <w:bCs/>
        </w:rPr>
        <w:tab/>
      </w:r>
      <w:r w:rsidRPr="00817597">
        <w:rPr>
          <w:b/>
          <w:bCs/>
        </w:rPr>
        <w:tab/>
      </w:r>
      <w:r w:rsidRPr="00817597">
        <w:rPr>
          <w:b/>
          <w:bCs/>
        </w:rPr>
        <w:tab/>
        <w:t xml:space="preserve">               </w:t>
      </w:r>
      <w:proofErr w:type="spellStart"/>
      <w:r w:rsidRPr="00817597">
        <w:rPr>
          <w:b/>
          <w:bCs/>
        </w:rPr>
        <w:t>Militon</w:t>
      </w:r>
      <w:proofErr w:type="spellEnd"/>
      <w:r w:rsidRPr="00817597">
        <w:rPr>
          <w:b/>
          <w:bCs/>
        </w:rPr>
        <w:t xml:space="preserve"> Dănuț Laslău</w:t>
      </w:r>
    </w:p>
    <w:sectPr w:rsidR="00817597" w:rsidRPr="00817597" w:rsidSect="00F76F59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  <w:sz w:val="28"/>
        <w:szCs w:val="28"/>
        <w:lang w:val="ro-RO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itlu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/>
        <w:bCs/>
        <w:color w:val="000000"/>
        <w:sz w:val="22"/>
        <w:szCs w:val="24"/>
        <w:lang w:val="ro-R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Aria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Aria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Arial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Arial"/>
      </w:rPr>
    </w:lvl>
  </w:abstractNum>
  <w:num w:numId="1" w16cid:durableId="1404251928">
    <w:abstractNumId w:val="1"/>
  </w:num>
  <w:num w:numId="2" w16cid:durableId="518396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19DA"/>
    <w:rsid w:val="000575DD"/>
    <w:rsid w:val="000725A1"/>
    <w:rsid w:val="002D695C"/>
    <w:rsid w:val="003219DA"/>
    <w:rsid w:val="004E457F"/>
    <w:rsid w:val="006D7BE6"/>
    <w:rsid w:val="00817597"/>
    <w:rsid w:val="00CB67EF"/>
    <w:rsid w:val="00D11E82"/>
    <w:rsid w:val="00D768AF"/>
    <w:rsid w:val="00E70D04"/>
    <w:rsid w:val="00EA758F"/>
    <w:rsid w:val="00F7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66863"/>
  <w15:docId w15:val="{1E46AC89-1873-454C-8699-14D426AD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95C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val="ro-RO" w:eastAsia="ar-SA"/>
    </w:rPr>
  </w:style>
  <w:style w:type="paragraph" w:styleId="Titlu1">
    <w:name w:val="heading 1"/>
    <w:basedOn w:val="Normal"/>
    <w:next w:val="Corptext"/>
    <w:link w:val="Titlu1Caracter"/>
    <w:qFormat/>
    <w:rsid w:val="00EA758F"/>
    <w:pPr>
      <w:keepNext/>
      <w:widowControl w:val="0"/>
      <w:numPr>
        <w:numId w:val="1"/>
      </w:numPr>
      <w:jc w:val="center"/>
      <w:outlineLvl w:val="0"/>
    </w:pPr>
    <w:rPr>
      <w:rFonts w:ascii="Times New Roman" w:eastAsia="Andale Sans UI" w:hAnsi="Times New Roman" w:cs="Times New Roman"/>
      <w:b/>
      <w:kern w:val="1"/>
      <w:szCs w:val="20"/>
      <w:u w:val="singl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sid w:val="002D695C"/>
    <w:rPr>
      <w:color w:val="0000FF"/>
      <w:u w:val="single"/>
    </w:rPr>
  </w:style>
  <w:style w:type="character" w:customStyle="1" w:styleId="l5def1">
    <w:name w:val="l5def1"/>
    <w:rsid w:val="002D695C"/>
    <w:rPr>
      <w:rFonts w:ascii="Arial" w:hAnsi="Arial" w:cs="Arial" w:hint="default"/>
      <w:color w:val="000000"/>
      <w:sz w:val="26"/>
      <w:szCs w:val="26"/>
    </w:rPr>
  </w:style>
  <w:style w:type="character" w:customStyle="1" w:styleId="Titlu1Caracter">
    <w:name w:val="Titlu 1 Caracter"/>
    <w:basedOn w:val="Fontdeparagrafimplicit"/>
    <w:link w:val="Titlu1"/>
    <w:rsid w:val="00EA758F"/>
    <w:rPr>
      <w:rFonts w:ascii="Times New Roman" w:eastAsia="Andale Sans UI" w:hAnsi="Times New Roman" w:cs="Times New Roman"/>
      <w:b/>
      <w:kern w:val="1"/>
      <w:sz w:val="24"/>
      <w:szCs w:val="20"/>
      <w:u w:val="single"/>
      <w:lang w:val="ro-RO" w:eastAsia="ar-SA"/>
    </w:rPr>
  </w:style>
  <w:style w:type="character" w:customStyle="1" w:styleId="FootnoteCharacters">
    <w:name w:val="Footnote Characters"/>
    <w:rsid w:val="00EA758F"/>
    <w:rPr>
      <w:vertAlign w:val="superscript"/>
    </w:rPr>
  </w:style>
  <w:style w:type="paragraph" w:styleId="Corptext">
    <w:name w:val="Body Text"/>
    <w:basedOn w:val="Normal"/>
    <w:link w:val="CorptextCaracter"/>
    <w:rsid w:val="00EA758F"/>
    <w:pPr>
      <w:widowControl w:val="0"/>
      <w:spacing w:after="120"/>
    </w:pPr>
    <w:rPr>
      <w:rFonts w:ascii="Times New Roman" w:eastAsia="Andale Sans UI" w:hAnsi="Times New Roman" w:cs="Times New Roman"/>
      <w:kern w:val="1"/>
    </w:rPr>
  </w:style>
  <w:style w:type="character" w:customStyle="1" w:styleId="CorptextCaracter">
    <w:name w:val="Corp text Caracter"/>
    <w:basedOn w:val="Fontdeparagrafimplicit"/>
    <w:link w:val="Corptext"/>
    <w:rsid w:val="00EA758F"/>
    <w:rPr>
      <w:rFonts w:ascii="Times New Roman" w:eastAsia="Andale Sans UI" w:hAnsi="Times New Roman" w:cs="Times New Roman"/>
      <w:kern w:val="1"/>
      <w:sz w:val="24"/>
      <w:szCs w:val="24"/>
      <w:lang w:val="ro-RO" w:eastAsia="ar-SA"/>
    </w:rPr>
  </w:style>
  <w:style w:type="character" w:customStyle="1" w:styleId="font2">
    <w:name w:val="font2"/>
    <w:basedOn w:val="Fontdeparagrafimplicit"/>
    <w:rsid w:val="00EA7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imariahunedoara.ro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381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CIC-Vali</dc:creator>
  <cp:keywords/>
  <dc:description/>
  <cp:lastModifiedBy>User</cp:lastModifiedBy>
  <cp:revision>14</cp:revision>
  <dcterms:created xsi:type="dcterms:W3CDTF">2022-07-07T10:04:00Z</dcterms:created>
  <dcterms:modified xsi:type="dcterms:W3CDTF">2022-11-15T08:01:00Z</dcterms:modified>
</cp:coreProperties>
</file>